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040FF" w:rsidRPr="00B040FF" w:rsidRDefault="00B040FF" w:rsidP="00B040FF">
      <w:pPr>
        <w:widowControl/>
        <w:jc w:val="center"/>
        <w:rPr>
          <w:rFonts w:ascii="微软雅黑" w:eastAsia="微软雅黑" w:hAnsi="微软雅黑" w:cs="Helvetica"/>
          <w:b/>
          <w:bCs/>
          <w:color w:val="000000"/>
          <w:kern w:val="0"/>
          <w:sz w:val="30"/>
          <w:szCs w:val="30"/>
        </w:rPr>
      </w:pPr>
      <w:r w:rsidRPr="00B040FF">
        <w:rPr>
          <w:rFonts w:ascii="微软雅黑" w:eastAsia="微软雅黑" w:hAnsi="微软雅黑" w:cs="Helvetica"/>
          <w:b/>
          <w:bCs/>
          <w:color w:val="000000"/>
          <w:kern w:val="0"/>
          <w:sz w:val="30"/>
          <w:szCs w:val="30"/>
        </w:rPr>
        <w:t>关于2025年度社会工作者职业资格考试考务工作有关事项的通知</w:t>
      </w:r>
    </w:p>
    <w:p w:rsidR="00B040FF" w:rsidRPr="00B040FF" w:rsidRDefault="00B040FF" w:rsidP="00C15FC8">
      <w:pPr>
        <w:widowControl/>
        <w:spacing w:before="100" w:beforeAutospacing="1" w:after="100" w:afterAutospacing="1" w:line="560" w:lineRule="exact"/>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各设区市委社会工作部，市人力资源社会保障局：</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根据人力资源和社会保障部人事考试中心《关于2025年度社会工作者职业资格考试考务工作的通知》（人考中心函〔2025〕6号）和《江苏省人力资源社会保障厅关于进一步加强我省专业技术资格考试资格审查工作的通知》（苏人社发〔2018〕383号）精神，为做好我省2025年度社会工作者职业资格考试考务工作，现将有关事项通知如下：</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一、组织分工</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（一）省人力资源社会保障厅、省委社会工作部共同负责社会工作者职业资格考试，省人事考试中心负责具体考务工作组织实施。</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二）各设区市人事考试机构负责考试报名和考前抽查工作及对全部科目成绩达到相关标准的应试人员进行考后资格审查（以下简称“考后审查”）的初审工作。省委社会工作部负责考后审查复核工作，并与省人力资源社会保障厅对考后审查中的疑难问题进行会商，形成终审意见。</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二、时间安排和考区设置</w:t>
      </w:r>
    </w:p>
    <w:tbl>
      <w:tblPr>
        <w:tblW w:w="0" w:type="auto"/>
        <w:tblCellSpacing w:w="0" w:type="dxa"/>
        <w:tblCellMar>
          <w:left w:w="0" w:type="dxa"/>
          <w:right w:w="0" w:type="dxa"/>
        </w:tblCellMar>
        <w:tblLook w:val="04A0"/>
      </w:tblPr>
      <w:tblGrid>
        <w:gridCol w:w="1397"/>
        <w:gridCol w:w="3112"/>
        <w:gridCol w:w="4067"/>
      </w:tblGrid>
      <w:tr w:rsidR="00B040FF" w:rsidRPr="00B040FF" w:rsidTr="00B040FF">
        <w:trPr>
          <w:trHeight w:val="570"/>
          <w:tblCellSpacing w:w="0" w:type="dxa"/>
        </w:trPr>
        <w:tc>
          <w:tcPr>
            <w:tcW w:w="2175" w:type="dxa"/>
            <w:tcBorders>
              <w:top w:val="single" w:sz="12" w:space="0" w:color="auto"/>
              <w:left w:val="single" w:sz="12" w:space="0" w:color="auto"/>
              <w:bottom w:val="single" w:sz="6" w:space="0" w:color="auto"/>
              <w:right w:val="single" w:sz="6" w:space="0" w:color="auto"/>
            </w:tcBorders>
            <w:tcMar>
              <w:top w:w="0" w:type="dxa"/>
              <w:left w:w="105" w:type="dxa"/>
              <w:bottom w:w="0" w:type="dxa"/>
              <w:right w:w="105" w:type="dxa"/>
            </w:tcMar>
            <w:vAlign w:val="center"/>
            <w:hideMark/>
          </w:tcPr>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040FF">
              <w:rPr>
                <w:rFonts w:asciiTheme="minorEastAsia" w:hAnsiTheme="minorEastAsia" w:cs="宋体"/>
                <w:kern w:val="0"/>
                <w:sz w:val="24"/>
                <w:szCs w:val="24"/>
              </w:rPr>
              <w:t>日期</w:t>
            </w:r>
          </w:p>
        </w:tc>
        <w:tc>
          <w:tcPr>
            <w:tcW w:w="3480" w:type="dxa"/>
            <w:tcBorders>
              <w:top w:val="single" w:sz="12"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040FF">
              <w:rPr>
                <w:rFonts w:asciiTheme="minorEastAsia" w:hAnsiTheme="minorEastAsia" w:cs="宋体"/>
                <w:kern w:val="0"/>
                <w:sz w:val="24"/>
                <w:szCs w:val="24"/>
              </w:rPr>
              <w:t>考试时间</w:t>
            </w:r>
          </w:p>
        </w:tc>
        <w:tc>
          <w:tcPr>
            <w:tcW w:w="5595" w:type="dxa"/>
            <w:tcBorders>
              <w:top w:val="single" w:sz="12" w:space="0" w:color="auto"/>
              <w:left w:val="single" w:sz="6" w:space="0" w:color="auto"/>
              <w:bottom w:val="single" w:sz="6" w:space="0" w:color="auto"/>
              <w:right w:val="single" w:sz="12" w:space="0" w:color="auto"/>
            </w:tcBorders>
            <w:tcMar>
              <w:top w:w="0" w:type="dxa"/>
              <w:left w:w="105" w:type="dxa"/>
              <w:bottom w:w="0" w:type="dxa"/>
              <w:right w:w="105" w:type="dxa"/>
            </w:tcMar>
            <w:vAlign w:val="center"/>
            <w:hideMark/>
          </w:tcPr>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040FF">
              <w:rPr>
                <w:rFonts w:asciiTheme="minorEastAsia" w:hAnsiTheme="minorEastAsia" w:cs="宋体"/>
                <w:kern w:val="0"/>
                <w:sz w:val="24"/>
                <w:szCs w:val="24"/>
              </w:rPr>
              <w:t>考试科目</w:t>
            </w:r>
          </w:p>
        </w:tc>
      </w:tr>
      <w:tr w:rsidR="00B040FF" w:rsidRPr="00B040FF" w:rsidTr="00B040FF">
        <w:trPr>
          <w:trHeight w:val="570"/>
          <w:tblCellSpacing w:w="0" w:type="dxa"/>
        </w:trPr>
        <w:tc>
          <w:tcPr>
            <w:tcW w:w="2100" w:type="dxa"/>
            <w:tcBorders>
              <w:top w:val="single" w:sz="6" w:space="0" w:color="auto"/>
              <w:left w:val="single" w:sz="12" w:space="0" w:color="auto"/>
              <w:bottom w:val="single" w:sz="6" w:space="0" w:color="auto"/>
              <w:right w:val="single" w:sz="6" w:space="0" w:color="auto"/>
            </w:tcBorders>
            <w:tcMar>
              <w:top w:w="0" w:type="dxa"/>
              <w:left w:w="105" w:type="dxa"/>
              <w:bottom w:w="0" w:type="dxa"/>
              <w:right w:w="105" w:type="dxa"/>
            </w:tcMar>
            <w:vAlign w:val="center"/>
            <w:hideMark/>
          </w:tcPr>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040FF">
              <w:rPr>
                <w:rFonts w:asciiTheme="minorEastAsia" w:hAnsiTheme="minorEastAsia" w:cs="宋体"/>
                <w:kern w:val="0"/>
                <w:sz w:val="24"/>
                <w:szCs w:val="24"/>
              </w:rPr>
              <w:t>5月24日</w:t>
            </w:r>
          </w:p>
        </w:tc>
        <w:tc>
          <w:tcPr>
            <w:tcW w:w="414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040FF">
              <w:rPr>
                <w:rFonts w:asciiTheme="minorEastAsia" w:hAnsiTheme="minorEastAsia" w:cs="宋体"/>
                <w:kern w:val="0"/>
                <w:sz w:val="24"/>
                <w:szCs w:val="24"/>
              </w:rPr>
              <w:t>14∶00—16∶00</w:t>
            </w:r>
          </w:p>
        </w:tc>
        <w:tc>
          <w:tcPr>
            <w:tcW w:w="6735" w:type="dxa"/>
            <w:tcBorders>
              <w:top w:val="single" w:sz="6" w:space="0" w:color="auto"/>
              <w:left w:val="single" w:sz="6" w:space="0" w:color="auto"/>
              <w:bottom w:val="single" w:sz="6" w:space="0" w:color="auto"/>
              <w:right w:val="single" w:sz="12" w:space="0" w:color="auto"/>
            </w:tcBorders>
            <w:tcMar>
              <w:top w:w="0" w:type="dxa"/>
              <w:left w:w="105" w:type="dxa"/>
              <w:bottom w:w="0" w:type="dxa"/>
              <w:right w:w="105" w:type="dxa"/>
            </w:tcMar>
            <w:vAlign w:val="center"/>
            <w:hideMark/>
          </w:tcPr>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040FF">
              <w:rPr>
                <w:rFonts w:asciiTheme="minorEastAsia" w:hAnsiTheme="minorEastAsia" w:cs="宋体"/>
                <w:kern w:val="0"/>
                <w:sz w:val="24"/>
                <w:szCs w:val="24"/>
              </w:rPr>
              <w:t>社会工作法规与政策</w:t>
            </w:r>
          </w:p>
        </w:tc>
      </w:tr>
      <w:tr w:rsidR="00B040FF" w:rsidRPr="00B040FF" w:rsidTr="00B040FF">
        <w:trPr>
          <w:trHeight w:val="570"/>
          <w:tblCellSpacing w:w="0" w:type="dxa"/>
        </w:trPr>
        <w:tc>
          <w:tcPr>
            <w:tcW w:w="2100" w:type="dxa"/>
            <w:vMerge w:val="restart"/>
            <w:tcBorders>
              <w:top w:val="single" w:sz="6" w:space="0" w:color="auto"/>
              <w:left w:val="single" w:sz="12" w:space="0" w:color="auto"/>
              <w:bottom w:val="single" w:sz="6" w:space="0" w:color="auto"/>
              <w:right w:val="single" w:sz="6" w:space="0" w:color="auto"/>
            </w:tcBorders>
            <w:tcMar>
              <w:top w:w="0" w:type="dxa"/>
              <w:left w:w="105" w:type="dxa"/>
              <w:bottom w:w="0" w:type="dxa"/>
              <w:right w:w="105" w:type="dxa"/>
            </w:tcMar>
            <w:vAlign w:val="center"/>
            <w:hideMark/>
          </w:tcPr>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040FF">
              <w:rPr>
                <w:rFonts w:asciiTheme="minorEastAsia" w:hAnsiTheme="minorEastAsia" w:cs="宋体"/>
                <w:kern w:val="0"/>
                <w:sz w:val="24"/>
                <w:szCs w:val="24"/>
              </w:rPr>
              <w:t>5月25</w:t>
            </w:r>
            <w:r w:rsidRPr="00B040FF">
              <w:rPr>
                <w:rFonts w:asciiTheme="minorEastAsia" w:hAnsiTheme="minorEastAsia" w:cs="宋体"/>
                <w:kern w:val="0"/>
                <w:sz w:val="24"/>
                <w:szCs w:val="24"/>
              </w:rPr>
              <w:lastRenderedPageBreak/>
              <w:t>日</w:t>
            </w:r>
          </w:p>
        </w:tc>
        <w:tc>
          <w:tcPr>
            <w:tcW w:w="348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040FF">
              <w:rPr>
                <w:rFonts w:asciiTheme="minorEastAsia" w:hAnsiTheme="minorEastAsia" w:cs="宋体"/>
                <w:kern w:val="0"/>
                <w:sz w:val="24"/>
                <w:szCs w:val="24"/>
              </w:rPr>
              <w:lastRenderedPageBreak/>
              <w:t>09∶00—11∶00</w:t>
            </w:r>
          </w:p>
        </w:tc>
        <w:tc>
          <w:tcPr>
            <w:tcW w:w="5505" w:type="dxa"/>
            <w:tcBorders>
              <w:top w:val="single" w:sz="6" w:space="0" w:color="auto"/>
              <w:left w:val="single" w:sz="6" w:space="0" w:color="auto"/>
              <w:bottom w:val="single" w:sz="6" w:space="0" w:color="auto"/>
              <w:right w:val="single" w:sz="12" w:space="0" w:color="auto"/>
            </w:tcBorders>
            <w:tcMar>
              <w:top w:w="0" w:type="dxa"/>
              <w:left w:w="105" w:type="dxa"/>
              <w:bottom w:w="0" w:type="dxa"/>
              <w:right w:w="105" w:type="dxa"/>
            </w:tcMar>
            <w:vAlign w:val="center"/>
            <w:hideMark/>
          </w:tcPr>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040FF">
              <w:rPr>
                <w:rFonts w:asciiTheme="minorEastAsia" w:hAnsiTheme="minorEastAsia" w:cs="宋体"/>
                <w:kern w:val="0"/>
                <w:sz w:val="24"/>
                <w:szCs w:val="24"/>
              </w:rPr>
              <w:t>社会工作综合能力（初、中级）</w:t>
            </w:r>
          </w:p>
        </w:tc>
      </w:tr>
      <w:tr w:rsidR="00B040FF" w:rsidRPr="00B040FF" w:rsidTr="00B040FF">
        <w:trPr>
          <w:trHeight w:val="570"/>
          <w:tblCellSpacing w:w="0" w:type="dxa"/>
        </w:trPr>
        <w:tc>
          <w:tcPr>
            <w:tcW w:w="0" w:type="auto"/>
            <w:vMerge/>
            <w:tcBorders>
              <w:top w:val="single" w:sz="6" w:space="0" w:color="auto"/>
              <w:left w:val="single" w:sz="12" w:space="0" w:color="auto"/>
              <w:bottom w:val="single" w:sz="6" w:space="0" w:color="auto"/>
              <w:right w:val="single" w:sz="6" w:space="0" w:color="auto"/>
            </w:tcBorders>
            <w:vAlign w:val="center"/>
            <w:hideMark/>
          </w:tcPr>
          <w:p w:rsidR="00B040FF" w:rsidRPr="00B040FF" w:rsidRDefault="00B040FF" w:rsidP="00B040FF">
            <w:pPr>
              <w:widowControl/>
              <w:spacing w:line="560" w:lineRule="exact"/>
              <w:ind w:firstLineChars="200" w:firstLine="480"/>
              <w:jc w:val="left"/>
              <w:rPr>
                <w:rFonts w:asciiTheme="minorEastAsia" w:hAnsiTheme="minorEastAsia" w:cs="宋体"/>
                <w:kern w:val="0"/>
                <w:sz w:val="24"/>
                <w:szCs w:val="24"/>
              </w:rPr>
            </w:pPr>
          </w:p>
        </w:tc>
        <w:tc>
          <w:tcPr>
            <w:tcW w:w="345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040FF">
              <w:rPr>
                <w:rFonts w:asciiTheme="minorEastAsia" w:hAnsiTheme="minorEastAsia" w:cs="宋体"/>
                <w:kern w:val="0"/>
                <w:sz w:val="24"/>
                <w:szCs w:val="24"/>
              </w:rPr>
              <w:t>14∶00—16∶00</w:t>
            </w:r>
          </w:p>
        </w:tc>
        <w:tc>
          <w:tcPr>
            <w:tcW w:w="5235" w:type="dxa"/>
            <w:tcBorders>
              <w:top w:val="single" w:sz="6" w:space="0" w:color="auto"/>
              <w:left w:val="single" w:sz="6" w:space="0" w:color="auto"/>
              <w:bottom w:val="single" w:sz="6" w:space="0" w:color="auto"/>
              <w:right w:val="single" w:sz="12" w:space="0" w:color="auto"/>
            </w:tcBorders>
            <w:tcMar>
              <w:top w:w="0" w:type="dxa"/>
              <w:left w:w="105" w:type="dxa"/>
              <w:bottom w:w="0" w:type="dxa"/>
              <w:right w:w="105" w:type="dxa"/>
            </w:tcMar>
            <w:vAlign w:val="center"/>
            <w:hideMark/>
          </w:tcPr>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040FF">
              <w:rPr>
                <w:rFonts w:asciiTheme="minorEastAsia" w:hAnsiTheme="minorEastAsia" w:cs="宋体"/>
                <w:kern w:val="0"/>
                <w:sz w:val="24"/>
                <w:szCs w:val="24"/>
              </w:rPr>
              <w:t>社会工作实务（初级）</w:t>
            </w:r>
          </w:p>
        </w:tc>
      </w:tr>
      <w:tr w:rsidR="00B040FF" w:rsidRPr="00B040FF" w:rsidTr="00B040FF">
        <w:trPr>
          <w:trHeight w:val="570"/>
          <w:tblCellSpacing w:w="0" w:type="dxa"/>
        </w:trPr>
        <w:tc>
          <w:tcPr>
            <w:tcW w:w="0" w:type="auto"/>
            <w:vMerge/>
            <w:tcBorders>
              <w:top w:val="single" w:sz="6" w:space="0" w:color="auto"/>
              <w:left w:val="single" w:sz="12" w:space="0" w:color="auto"/>
              <w:bottom w:val="single" w:sz="6" w:space="0" w:color="auto"/>
              <w:right w:val="single" w:sz="6" w:space="0" w:color="auto"/>
            </w:tcBorders>
            <w:vAlign w:val="center"/>
            <w:hideMark/>
          </w:tcPr>
          <w:p w:rsidR="00B040FF" w:rsidRPr="00B040FF" w:rsidRDefault="00B040FF" w:rsidP="00B040FF">
            <w:pPr>
              <w:widowControl/>
              <w:spacing w:line="560" w:lineRule="exact"/>
              <w:ind w:firstLineChars="200" w:firstLine="480"/>
              <w:jc w:val="left"/>
              <w:rPr>
                <w:rFonts w:asciiTheme="minorEastAsia" w:hAnsiTheme="minorEastAsia" w:cs="宋体"/>
                <w:kern w:val="0"/>
                <w:sz w:val="24"/>
                <w:szCs w:val="24"/>
              </w:rPr>
            </w:pPr>
          </w:p>
        </w:tc>
        <w:tc>
          <w:tcPr>
            <w:tcW w:w="3450" w:type="dxa"/>
            <w:tcBorders>
              <w:top w:val="single" w:sz="6" w:space="0" w:color="auto"/>
              <w:left w:val="single" w:sz="6" w:space="0" w:color="auto"/>
              <w:bottom w:val="single" w:sz="6" w:space="0" w:color="auto"/>
              <w:right w:val="single" w:sz="6" w:space="0" w:color="auto"/>
            </w:tcBorders>
            <w:tcMar>
              <w:top w:w="0" w:type="dxa"/>
              <w:left w:w="105" w:type="dxa"/>
              <w:bottom w:w="0" w:type="dxa"/>
              <w:right w:w="105" w:type="dxa"/>
            </w:tcMar>
            <w:vAlign w:val="center"/>
            <w:hideMark/>
          </w:tcPr>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040FF">
              <w:rPr>
                <w:rFonts w:asciiTheme="minorEastAsia" w:hAnsiTheme="minorEastAsia" w:cs="宋体"/>
                <w:kern w:val="0"/>
                <w:sz w:val="24"/>
                <w:szCs w:val="24"/>
              </w:rPr>
              <w:t>14∶00—16∶30</w:t>
            </w:r>
          </w:p>
        </w:tc>
        <w:tc>
          <w:tcPr>
            <w:tcW w:w="5235" w:type="dxa"/>
            <w:tcBorders>
              <w:top w:val="single" w:sz="6" w:space="0" w:color="auto"/>
              <w:left w:val="single" w:sz="6" w:space="0" w:color="auto"/>
              <w:bottom w:val="single" w:sz="6" w:space="0" w:color="auto"/>
              <w:right w:val="single" w:sz="12" w:space="0" w:color="auto"/>
            </w:tcBorders>
            <w:tcMar>
              <w:top w:w="0" w:type="dxa"/>
              <w:left w:w="105" w:type="dxa"/>
              <w:bottom w:w="0" w:type="dxa"/>
              <w:right w:w="105" w:type="dxa"/>
            </w:tcMar>
            <w:vAlign w:val="center"/>
            <w:hideMark/>
          </w:tcPr>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040FF">
              <w:rPr>
                <w:rFonts w:asciiTheme="minorEastAsia" w:hAnsiTheme="minorEastAsia" w:cs="宋体"/>
                <w:kern w:val="0"/>
                <w:sz w:val="24"/>
                <w:szCs w:val="24"/>
              </w:rPr>
              <w:t>社会工作实务（中级）</w:t>
            </w:r>
          </w:p>
        </w:tc>
      </w:tr>
      <w:tr w:rsidR="00B040FF" w:rsidRPr="00B040FF" w:rsidTr="00B040FF">
        <w:trPr>
          <w:trHeight w:val="570"/>
          <w:tblCellSpacing w:w="0" w:type="dxa"/>
        </w:trPr>
        <w:tc>
          <w:tcPr>
            <w:tcW w:w="0" w:type="auto"/>
            <w:vMerge/>
            <w:tcBorders>
              <w:top w:val="single" w:sz="6" w:space="0" w:color="auto"/>
              <w:left w:val="single" w:sz="12" w:space="0" w:color="auto"/>
              <w:bottom w:val="single" w:sz="6" w:space="0" w:color="auto"/>
              <w:right w:val="single" w:sz="6" w:space="0" w:color="auto"/>
            </w:tcBorders>
            <w:vAlign w:val="center"/>
            <w:hideMark/>
          </w:tcPr>
          <w:p w:rsidR="00B040FF" w:rsidRPr="00B040FF" w:rsidRDefault="00B040FF" w:rsidP="00B040FF">
            <w:pPr>
              <w:widowControl/>
              <w:spacing w:line="560" w:lineRule="exact"/>
              <w:ind w:firstLineChars="200" w:firstLine="480"/>
              <w:jc w:val="left"/>
              <w:rPr>
                <w:rFonts w:asciiTheme="minorEastAsia" w:hAnsiTheme="minorEastAsia" w:cs="宋体"/>
                <w:kern w:val="0"/>
                <w:sz w:val="24"/>
                <w:szCs w:val="24"/>
              </w:rPr>
            </w:pPr>
          </w:p>
        </w:tc>
        <w:tc>
          <w:tcPr>
            <w:tcW w:w="3450" w:type="dxa"/>
            <w:tcBorders>
              <w:top w:val="nil"/>
              <w:left w:val="single" w:sz="6" w:space="0" w:color="auto"/>
              <w:bottom w:val="single" w:sz="12" w:space="0" w:color="auto"/>
              <w:right w:val="single" w:sz="6" w:space="0" w:color="auto"/>
            </w:tcBorders>
            <w:tcMar>
              <w:top w:w="0" w:type="dxa"/>
              <w:left w:w="105" w:type="dxa"/>
              <w:bottom w:w="0" w:type="dxa"/>
              <w:right w:w="105" w:type="dxa"/>
            </w:tcMar>
            <w:vAlign w:val="center"/>
            <w:hideMark/>
          </w:tcPr>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040FF">
              <w:rPr>
                <w:rFonts w:asciiTheme="minorEastAsia" w:hAnsiTheme="minorEastAsia" w:cs="宋体"/>
                <w:kern w:val="0"/>
                <w:sz w:val="24"/>
                <w:szCs w:val="24"/>
              </w:rPr>
              <w:t>14∶00—17∶00</w:t>
            </w:r>
          </w:p>
        </w:tc>
        <w:tc>
          <w:tcPr>
            <w:tcW w:w="5235" w:type="dxa"/>
            <w:tcBorders>
              <w:top w:val="nil"/>
              <w:left w:val="single" w:sz="6" w:space="0" w:color="auto"/>
              <w:bottom w:val="single" w:sz="12" w:space="0" w:color="auto"/>
              <w:right w:val="single" w:sz="12" w:space="0" w:color="auto"/>
            </w:tcBorders>
            <w:tcMar>
              <w:top w:w="0" w:type="dxa"/>
              <w:left w:w="105" w:type="dxa"/>
              <w:bottom w:w="0" w:type="dxa"/>
              <w:right w:w="105" w:type="dxa"/>
            </w:tcMar>
            <w:vAlign w:val="center"/>
            <w:hideMark/>
          </w:tcPr>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宋体"/>
                <w:kern w:val="0"/>
                <w:sz w:val="24"/>
                <w:szCs w:val="24"/>
              </w:rPr>
            </w:pPr>
            <w:r w:rsidRPr="00B040FF">
              <w:rPr>
                <w:rFonts w:asciiTheme="minorEastAsia" w:hAnsiTheme="minorEastAsia" w:cs="宋体"/>
                <w:kern w:val="0"/>
                <w:sz w:val="24"/>
                <w:szCs w:val="24"/>
              </w:rPr>
              <w:t>社会工作实务（高级）</w:t>
            </w:r>
          </w:p>
        </w:tc>
      </w:tr>
    </w:tbl>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考试原则上在各设区市设置考点。</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三、考试科目和作答方式</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一）助理社会工作师考试科目分为《社会工作综合能力（初级）》和《社会工作实务（初级）》2个科目。社会工作师考试科目分为《社会工作综合能力（中级）》《社会工作实务（中级）》和《社会工作法规与政策》3个科目。社会工作师考试《社会工作实务（中级）》科目试题为主观题，在专用答题卡上作答；社会工作师考试其余2个科目和助理社会工作师考试各科目试题均为客观题，在普通答题卡上作答。高级社会工作师考试《社会工作实务（高级）》科目试题为主观题。主观题用黑色墨水笔在答题纸（专用答题卡）上作答。</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二）客观题用2B铅笔在答题卡上作答，主观题用黑色墨水笔在答题纸（专用答题卡）上作答。报考人员应考时，可携带黑色墨水笔、2B铅笔和橡皮等文具，严禁携带计算器，其它物品应统一放置考场指定处。考场上应备有草稿纸供考生使用，考后收回。</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四、管理办法</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助理社会工作师考试报考人员须一次性通过全部2个应试科目，方可取得助理社会工作师职业资格证书；社会工作师考试报考人员须在连续2个考试年度内通过全部3个应试科目，方可获得社会工作师职业资格证书。对达到高级社会工</w:t>
      </w:r>
      <w:r w:rsidRPr="00B040FF">
        <w:rPr>
          <w:rFonts w:asciiTheme="minorEastAsia" w:hAnsiTheme="minorEastAsia" w:cs="Helvetica"/>
          <w:color w:val="000000"/>
          <w:kern w:val="0"/>
          <w:sz w:val="24"/>
          <w:szCs w:val="24"/>
        </w:rPr>
        <w:lastRenderedPageBreak/>
        <w:t>作师考试合格标准的人员，颁发高级社会工作师考试成绩合格证明，该证明自颁发之日起，在全国范围3年内有效。</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五、报考条件</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凡符合原人事部、民政部《关于印发〈社会工作者职业水平评价暂行规定〉和〈助理社会工作师、社会工作师职业水平考试实施办法〉的通知》（国人部发〔2006〕71号）报名条件规定的人员均可报名参加助理社会工作师、社会工作师职业资格考试。</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凡符合《人力资源社会保障部 民政部关于印发〈高级社会 工作师评价办法〉的通知》（人社部规〔2018〕2号）报名条件规定的人员均可报名参加高级社会工作师职业资格考试。</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（一）报考人员报考条件</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凡中华人民共和国公民以及香港、澳门居民，遵守国家法律、法规，恪守职业道德，可报考相应级别的考试。</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1．符合下列报名条件之一的可报考助理社会工作师</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宋体" w:hint="eastAsia"/>
          <w:color w:val="000000"/>
          <w:kern w:val="0"/>
          <w:sz w:val="24"/>
          <w:szCs w:val="24"/>
        </w:rPr>
        <w:t>①</w:t>
      </w:r>
      <w:r w:rsidRPr="00B040FF">
        <w:rPr>
          <w:rFonts w:asciiTheme="minorEastAsia" w:hAnsiTheme="minorEastAsia" w:cs="Helvetica"/>
          <w:color w:val="000000"/>
          <w:kern w:val="0"/>
          <w:sz w:val="24"/>
          <w:szCs w:val="24"/>
        </w:rPr>
        <w:t>取得高中或者中专学历，从事社会工作满4年；</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宋体" w:hint="eastAsia"/>
          <w:color w:val="000000"/>
          <w:kern w:val="0"/>
          <w:sz w:val="24"/>
          <w:szCs w:val="24"/>
        </w:rPr>
        <w:t>②</w:t>
      </w:r>
      <w:r w:rsidRPr="00B040FF">
        <w:rPr>
          <w:rFonts w:asciiTheme="minorEastAsia" w:hAnsiTheme="minorEastAsia" w:cs="Helvetica"/>
          <w:color w:val="000000"/>
          <w:kern w:val="0"/>
          <w:sz w:val="24"/>
          <w:szCs w:val="24"/>
        </w:rPr>
        <w:t>取得社会工作专业大专学历，从事社会工作满2年；</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宋体" w:hint="eastAsia"/>
          <w:color w:val="000000"/>
          <w:kern w:val="0"/>
          <w:sz w:val="24"/>
          <w:szCs w:val="24"/>
        </w:rPr>
        <w:t>③</w:t>
      </w:r>
      <w:r w:rsidRPr="00B040FF">
        <w:rPr>
          <w:rFonts w:asciiTheme="minorEastAsia" w:hAnsiTheme="minorEastAsia" w:cs="Helvetica"/>
          <w:color w:val="000000"/>
          <w:kern w:val="0"/>
          <w:sz w:val="24"/>
          <w:szCs w:val="24"/>
        </w:rPr>
        <w:t>社会工作专业本科应届毕业生；</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宋体" w:hint="eastAsia"/>
          <w:color w:val="000000"/>
          <w:kern w:val="0"/>
          <w:sz w:val="24"/>
          <w:szCs w:val="24"/>
        </w:rPr>
        <w:t>④</w:t>
      </w:r>
      <w:r w:rsidRPr="00B040FF">
        <w:rPr>
          <w:rFonts w:asciiTheme="minorEastAsia" w:hAnsiTheme="minorEastAsia" w:cs="Helvetica"/>
          <w:color w:val="000000"/>
          <w:kern w:val="0"/>
          <w:sz w:val="24"/>
          <w:szCs w:val="24"/>
        </w:rPr>
        <w:t>取得其他专业大专学历，从事社会工作满4年；</w:t>
      </w:r>
    </w:p>
    <w:p w:rsidR="00B040FF" w:rsidRPr="00B040FF" w:rsidRDefault="00B040FF" w:rsidP="00B040FF">
      <w:pPr>
        <w:widowControl/>
        <w:spacing w:beforeAutospacing="1"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宋体" w:hint="eastAsia"/>
          <w:color w:val="000000"/>
          <w:kern w:val="0"/>
          <w:sz w:val="24"/>
          <w:szCs w:val="24"/>
        </w:rPr>
        <w:t>⑤</w:t>
      </w:r>
      <w:r w:rsidRPr="00B040FF">
        <w:rPr>
          <w:rFonts w:asciiTheme="minorEastAsia" w:hAnsiTheme="minorEastAsia" w:cs="Helvetica"/>
          <w:color w:val="000000"/>
          <w:spacing w:val="-15"/>
          <w:kern w:val="0"/>
          <w:sz w:val="24"/>
          <w:szCs w:val="24"/>
          <w:bdr w:val="none" w:sz="0" w:space="0" w:color="auto" w:frame="1"/>
        </w:rPr>
        <w:t>取得其他专业本科及以上学历或学位，从事社会工作满2年。</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lastRenderedPageBreak/>
        <w:t>2．符合下列报名条件之一的可报考社会工作师</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宋体" w:hint="eastAsia"/>
          <w:color w:val="000000"/>
          <w:kern w:val="0"/>
          <w:sz w:val="24"/>
          <w:szCs w:val="24"/>
        </w:rPr>
        <w:t>①</w:t>
      </w:r>
      <w:r w:rsidRPr="00B040FF">
        <w:rPr>
          <w:rFonts w:asciiTheme="minorEastAsia" w:hAnsiTheme="minorEastAsia" w:cs="Helvetica"/>
          <w:color w:val="000000"/>
          <w:kern w:val="0"/>
          <w:sz w:val="24"/>
          <w:szCs w:val="24"/>
        </w:rPr>
        <w:t>取得高中或者中专学历，并取得助理社会工作师职业资格证书后，从事社会工作满6年；</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宋体" w:hint="eastAsia"/>
          <w:color w:val="000000"/>
          <w:kern w:val="0"/>
          <w:sz w:val="24"/>
          <w:szCs w:val="24"/>
        </w:rPr>
        <w:t>②</w:t>
      </w:r>
      <w:r w:rsidRPr="00B040FF">
        <w:rPr>
          <w:rFonts w:asciiTheme="minorEastAsia" w:hAnsiTheme="minorEastAsia" w:cs="Helvetica"/>
          <w:color w:val="000000"/>
          <w:kern w:val="0"/>
          <w:sz w:val="24"/>
          <w:szCs w:val="24"/>
        </w:rPr>
        <w:t>取得社会工作专业大专学历，从事社会工作满4年；</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宋体" w:hint="eastAsia"/>
          <w:color w:val="000000"/>
          <w:kern w:val="0"/>
          <w:sz w:val="24"/>
          <w:szCs w:val="24"/>
        </w:rPr>
        <w:t>③</w:t>
      </w:r>
      <w:r w:rsidRPr="00B040FF">
        <w:rPr>
          <w:rFonts w:asciiTheme="minorEastAsia" w:hAnsiTheme="minorEastAsia" w:cs="Helvetica"/>
          <w:color w:val="000000"/>
          <w:kern w:val="0"/>
          <w:sz w:val="24"/>
          <w:szCs w:val="24"/>
        </w:rPr>
        <w:t>取得社会工作专业大学本科学历，从事社会工作满3年；</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宋体" w:hint="eastAsia"/>
          <w:color w:val="000000"/>
          <w:kern w:val="0"/>
          <w:sz w:val="24"/>
          <w:szCs w:val="24"/>
        </w:rPr>
        <w:t>④</w:t>
      </w:r>
      <w:r w:rsidRPr="00B040FF">
        <w:rPr>
          <w:rFonts w:asciiTheme="minorEastAsia" w:hAnsiTheme="minorEastAsia" w:cs="Helvetica"/>
          <w:color w:val="000000"/>
          <w:kern w:val="0"/>
          <w:sz w:val="24"/>
          <w:szCs w:val="24"/>
        </w:rPr>
        <w:t>取得社会工作专业硕士学位，从事社会工作满1年；</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宋体" w:hint="eastAsia"/>
          <w:color w:val="000000"/>
          <w:kern w:val="0"/>
          <w:sz w:val="24"/>
          <w:szCs w:val="24"/>
        </w:rPr>
        <w:t>⑤</w:t>
      </w:r>
      <w:r w:rsidRPr="00B040FF">
        <w:rPr>
          <w:rFonts w:asciiTheme="minorEastAsia" w:hAnsiTheme="minorEastAsia" w:cs="Helvetica"/>
          <w:color w:val="000000"/>
          <w:kern w:val="0"/>
          <w:sz w:val="24"/>
          <w:szCs w:val="24"/>
        </w:rPr>
        <w:t>取得社会工作专业博士学位；</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宋体" w:hint="eastAsia"/>
          <w:color w:val="000000"/>
          <w:kern w:val="0"/>
          <w:sz w:val="24"/>
          <w:szCs w:val="24"/>
        </w:rPr>
        <w:t>⑥</w:t>
      </w:r>
      <w:r w:rsidRPr="00B040FF">
        <w:rPr>
          <w:rFonts w:asciiTheme="minorEastAsia" w:hAnsiTheme="minorEastAsia" w:cs="Helvetica"/>
          <w:color w:val="000000"/>
          <w:kern w:val="0"/>
          <w:sz w:val="24"/>
          <w:szCs w:val="24"/>
        </w:rPr>
        <w:t>取得其他专业大专及以上学历或学位，其从事社会工作年限相应增加2年。</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3．同时具备以下条件的可报考高级社会工作师</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宋体" w:hint="eastAsia"/>
          <w:color w:val="000000"/>
          <w:kern w:val="0"/>
          <w:sz w:val="24"/>
          <w:szCs w:val="24"/>
        </w:rPr>
        <w:t>①</w:t>
      </w:r>
      <w:r w:rsidRPr="00B040FF">
        <w:rPr>
          <w:rFonts w:asciiTheme="minorEastAsia" w:hAnsiTheme="minorEastAsia" w:cs="Helvetica"/>
          <w:color w:val="000000"/>
          <w:kern w:val="0"/>
          <w:sz w:val="24"/>
          <w:szCs w:val="24"/>
        </w:rPr>
        <w:t>拥护中国共产党领导，遵守国家宪法、法律、法规，热爱社会工作事业，具有良好的职业道德；</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宋体" w:hint="eastAsia"/>
          <w:color w:val="000000"/>
          <w:kern w:val="0"/>
          <w:sz w:val="24"/>
          <w:szCs w:val="24"/>
        </w:rPr>
        <w:t>②</w:t>
      </w:r>
      <w:r w:rsidRPr="00B040FF">
        <w:rPr>
          <w:rFonts w:asciiTheme="minorEastAsia" w:hAnsiTheme="minorEastAsia" w:cs="Helvetica"/>
          <w:color w:val="000000"/>
          <w:kern w:val="0"/>
          <w:sz w:val="24"/>
          <w:szCs w:val="24"/>
        </w:rPr>
        <w:t>具有本科及以上学历（或学士及以上学位）；</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宋体" w:hint="eastAsia"/>
          <w:color w:val="000000"/>
          <w:kern w:val="0"/>
          <w:sz w:val="24"/>
          <w:szCs w:val="24"/>
        </w:rPr>
        <w:t>③</w:t>
      </w:r>
      <w:r w:rsidRPr="00B040FF">
        <w:rPr>
          <w:rFonts w:asciiTheme="minorEastAsia" w:hAnsiTheme="minorEastAsia" w:cs="Helvetica"/>
          <w:color w:val="000000"/>
          <w:kern w:val="0"/>
          <w:sz w:val="24"/>
          <w:szCs w:val="24"/>
        </w:rPr>
        <w:t>在通过全国社会工作者职业资格考试取得社会工作师（中级）资格后，从事社会工作满5年，其截止日期为2025年12月31日。</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（二）助理社会工作师考试报名条件中的“社会工作专业本科应届毕业生”解释为“社会工作专业本科应届毕业生和已经取得社会工作专业本科及以上学历（学位）的人员”。</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lastRenderedPageBreak/>
        <w:t>（三）持香港、澳门、台湾地区或者国外高等学校学历或者学位证书报考的，其学历、学位证书须经教育部留学服务中心认证；符合报名条件的香港、澳门及台湾居民可以申请参加社会工作者职业资格考试。</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（四）持有中国残疾人联合会颁发的残疾人证二级低视力 （或严重于二级）者可申请借助读屏软件参加考试。报名参加考试的视力障碍人员，须向报考地人事考试机构申请使用专用考场。</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（五）报名条件中有关工作年限的要求，是指报名人员取得学历前后从事本专业工作时间的总和，其截止日期为2025年12月31日。</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六、报名</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（一）报名日期和网址。2025年度社会工作者职业资格考试实行全国统一网上报名，网上报名日期为2025年3月10日9</w:t>
      </w:r>
      <w:r w:rsidRPr="00B040FF">
        <w:rPr>
          <w:rFonts w:asciiTheme="minorEastAsia" w:hAnsiTheme="minorEastAsia" w:cs="宋体" w:hint="eastAsia"/>
          <w:color w:val="000000"/>
          <w:kern w:val="0"/>
          <w:sz w:val="24"/>
          <w:szCs w:val="24"/>
        </w:rPr>
        <w:t>∶</w:t>
      </w:r>
      <w:r w:rsidRPr="00B040FF">
        <w:rPr>
          <w:rFonts w:asciiTheme="minorEastAsia" w:hAnsiTheme="minorEastAsia" w:cs="Helvetica"/>
          <w:color w:val="000000"/>
          <w:kern w:val="0"/>
          <w:sz w:val="24"/>
          <w:szCs w:val="24"/>
        </w:rPr>
        <w:t>00—28日16</w:t>
      </w:r>
      <w:r w:rsidRPr="00B040FF">
        <w:rPr>
          <w:rFonts w:asciiTheme="minorEastAsia" w:hAnsiTheme="minorEastAsia" w:cs="宋体" w:hint="eastAsia"/>
          <w:color w:val="000000"/>
          <w:kern w:val="0"/>
          <w:sz w:val="24"/>
          <w:szCs w:val="24"/>
        </w:rPr>
        <w:t>∶</w:t>
      </w:r>
      <w:r w:rsidRPr="00B040FF">
        <w:rPr>
          <w:rFonts w:asciiTheme="minorEastAsia" w:hAnsiTheme="minorEastAsia" w:cs="Helvetica"/>
          <w:color w:val="000000"/>
          <w:kern w:val="0"/>
          <w:sz w:val="24"/>
          <w:szCs w:val="24"/>
        </w:rPr>
        <w:t>00，网上报名平台为全国专业技术人员资格考试报名服务平台（http://zg.cpta.com.cn/examfront）。</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二）实施告知承诺制。本项考试报名实施告知承诺制，请各位考生仔细阅读中国人事考试网“资格考试报名证明事项告知承诺制”专栏中的政策规定、报考指南（http://www.cpta.com.cn/promise.html），详细了解，正确操作。</w:t>
      </w:r>
    </w:p>
    <w:p w:rsidR="00B040FF" w:rsidRPr="00B040FF" w:rsidRDefault="00B040FF" w:rsidP="00B040FF">
      <w:pPr>
        <w:widowControl/>
        <w:spacing w:beforeAutospacing="1" w:afterAutospacing="1" w:line="560" w:lineRule="exact"/>
        <w:ind w:firstLineChars="200" w:firstLine="482"/>
        <w:jc w:val="left"/>
        <w:rPr>
          <w:rFonts w:asciiTheme="minorEastAsia" w:hAnsiTheme="minorEastAsia" w:cs="Helvetica"/>
          <w:color w:val="000000"/>
          <w:kern w:val="0"/>
          <w:sz w:val="24"/>
          <w:szCs w:val="24"/>
        </w:rPr>
      </w:pPr>
      <w:r w:rsidRPr="00B040FF">
        <w:rPr>
          <w:rFonts w:asciiTheme="minorEastAsia" w:hAnsiTheme="minorEastAsia" w:cs="Helvetica"/>
          <w:b/>
          <w:bCs/>
          <w:color w:val="000000"/>
          <w:kern w:val="0"/>
          <w:sz w:val="24"/>
          <w:szCs w:val="24"/>
        </w:rPr>
        <w:t>特别提醒：</w:t>
      </w:r>
      <w:r w:rsidRPr="00B040FF">
        <w:rPr>
          <w:rFonts w:asciiTheme="minorEastAsia" w:hAnsiTheme="minorEastAsia" w:cs="Helvetica"/>
          <w:color w:val="000000"/>
          <w:kern w:val="0"/>
          <w:sz w:val="24"/>
          <w:szCs w:val="24"/>
        </w:rPr>
        <w:t>为加强报名证明事项告知承诺制事中监管，自2023年报名起，如报考人员提交的境内高等教育学历学位信息无法通过在线自动核验，应在报名前及时登录中国高等教育学生信息网（学信网）进行验证/认证，下载相关PDF格式在线验证/认证报告，报名期间按报名地考试机构要求上传相关验证/认证报</w:t>
      </w:r>
      <w:r w:rsidRPr="00B040FF">
        <w:rPr>
          <w:rFonts w:asciiTheme="minorEastAsia" w:hAnsiTheme="minorEastAsia" w:cs="Helvetica"/>
          <w:color w:val="000000"/>
          <w:kern w:val="0"/>
          <w:sz w:val="24"/>
          <w:szCs w:val="24"/>
        </w:rPr>
        <w:lastRenderedPageBreak/>
        <w:t>告，接受人工核查，具体操作方式参见中国人事考试网考生问答栏目内容（http://www.cpta.com.cn/question/1525.html）。</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如报考人员在考试报名截止前无法及时取得学历学位验证/认证报告，须临时上传PDF格式的学历学位电子文件继续完成报名，事后补充提交本人学历学位验证/认证报告，考试机构做好上述人员登记和相关报考人员学历学位验证/认证报告的核查工作。</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考生请仔细阅读《报考指南》（http://www.cpta.com.cn/applyGuide/740.html）第六条核查与监管条款中关于考试组织机构将在考前、考中、考后对报考人员承诺内容开展核查的具体说明。</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三）照片格式。在全国专业技术人员资格考试报名服务平台新注册的考生须采用近期彩色标准1寸半身免冠正面证件照（尺寸25mm×35mm，像素295px×413px），照片底色背景为白色。对于2018年之前在报名服务平台注册的考生，原则上不进行照片更换。报名照片将用于准考证、考场座次表、证书和证书查询认证系统。</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（四）网上缴费。缴费时间为3月10日—31日。报考人员确认报名后，已缴费用不予退还。</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（五）准考证打印。准考证打印时间为 5月19日—25日，报考人员可登录“中国人事考试网”——“打印准考证”栏目下载打印准考证。</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七、报考注意事项</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请考生仔细阅读《江苏省专业技术人员资格考试审核工作有关问题解答（持续更新）》</w:t>
      </w:r>
      <w:r w:rsidRPr="00B040FF">
        <w:rPr>
          <w:rFonts w:asciiTheme="minorEastAsia" w:hAnsiTheme="minorEastAsia" w:cs="Helvetica"/>
          <w:color w:val="000000"/>
          <w:kern w:val="0"/>
          <w:sz w:val="24"/>
          <w:szCs w:val="24"/>
        </w:rPr>
        <w:lastRenderedPageBreak/>
        <w:t>（http://jshrss.jiangsu.gov.cn/art/2021/3/5/art_57268_9690677.html），明确有关学历、专业及审核条件后进行后续报名。</w:t>
      </w:r>
    </w:p>
    <w:p w:rsidR="00B040FF" w:rsidRPr="00B040FF" w:rsidRDefault="00B040FF" w:rsidP="00B040FF">
      <w:pPr>
        <w:widowControl/>
        <w:spacing w:beforeAutospacing="1" w:afterAutospacing="1" w:line="560" w:lineRule="exact"/>
        <w:ind w:firstLineChars="200" w:firstLine="482"/>
        <w:jc w:val="left"/>
        <w:rPr>
          <w:rFonts w:asciiTheme="minorEastAsia" w:hAnsiTheme="minorEastAsia" w:cs="Helvetica"/>
          <w:color w:val="000000"/>
          <w:kern w:val="0"/>
          <w:sz w:val="24"/>
          <w:szCs w:val="24"/>
        </w:rPr>
      </w:pPr>
      <w:r w:rsidRPr="00B040FF">
        <w:rPr>
          <w:rFonts w:asciiTheme="minorEastAsia" w:hAnsiTheme="minorEastAsia" w:cs="Helvetica"/>
          <w:b/>
          <w:bCs/>
          <w:color w:val="000000"/>
          <w:kern w:val="0"/>
          <w:sz w:val="24"/>
          <w:szCs w:val="24"/>
        </w:rPr>
        <w:t>特别提醒</w:t>
      </w:r>
      <w:r w:rsidRPr="00B040FF">
        <w:rPr>
          <w:rFonts w:asciiTheme="minorEastAsia" w:hAnsiTheme="minorEastAsia" w:cs="Helvetica"/>
          <w:color w:val="000000"/>
          <w:kern w:val="0"/>
          <w:sz w:val="24"/>
          <w:szCs w:val="24"/>
        </w:rPr>
        <w:t>：报考人员须认真阅读《关于请相关报考人员提前做好学历学位认证申请的温馨提醒》（http://www.cpta.com.cn/notice/1642.html），因学信网学历学位认证需要一定办理周期，报考人员应提前安排好认证事宜，以免影响报名。</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（一）一般情况报考流程</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 1．首次报考人员应先如实注册个人信息（如姓名、学历学位、身份证号和手机号、电子邮箱等）。注册成功后，上传本人电子证件照。在注册提交 24 小时后，且在线学历、学位信息核验通过的，报考人员再次登陆网报系统，在阅读《报考须知》后，再进入报考信息录入界面，完善个人信息（如专业工作年限、所学专业、工作单位与地址、专业技术等级或职称等），并正确选择报考信息（如考试级别、专业、科目、报名点等）。</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2．已注册的报考人员，在登陆网报系统后，直接填报个人信息（如姓名、学历学位、身份证号和手机号、电子邮箱等）， 经24小时后，且在线核验通过的，再按以上流程完成报名（再次登陆网报系统后填报的内容与步骤同上）。</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3．在填报完相关信息后，系统会提示报考人员是否选择采用告知承诺制方式办理。</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报考人员如选择采用告知承诺制方式办理，系统自动生成《专业技术人员职业资格考试报名证明事项告知承诺书》电子文本，由报考人员本人签署并提交（不</w:t>
      </w:r>
      <w:r w:rsidRPr="00B040FF">
        <w:rPr>
          <w:rFonts w:asciiTheme="minorEastAsia" w:hAnsiTheme="minorEastAsia" w:cs="Helvetica"/>
          <w:color w:val="000000"/>
          <w:kern w:val="0"/>
          <w:sz w:val="24"/>
          <w:szCs w:val="24"/>
        </w:rPr>
        <w:lastRenderedPageBreak/>
        <w:t>允许代为承诺），承诺书电子文本可下载保存，考试组织机构不再索要有关证明，依据承诺办理报名相关事项。</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如未选择告知承诺制或者不适用告知承诺制的报考人员，应在报名前仔细了解相关资格考试的报考条件、符合报考条件所需的证明义务和证明内容、考试组织机构的核查权力和报考人员的配合义务等，由本人在网上报名系统填报信息后，在报名系统中提交相关证明材料即可。</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未选择告知承诺制或者不适用告知承诺制的报考人员在报名系统中根据报考级别提交的证明材料包括：</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（1）学历证明；</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（2）学位证明；</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（3）从事相关专业工作年限证明；</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（4）可提供相关级别的社会工作师职业资格证书。</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4．报考人员再次对报考信息进行认真检查，在确认所填报、选择和上传的信息准确无误后，再点击“确认”或下载打印“报名表” （打印的“报名表”无需单位审核和提交，供报考人员留存备查）。</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（二）特殊情况的报考处理</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1．注册信息提交24小时后，在线学历、学位信息核验未通过的报考人员可正常填写报考信息，只需在报名信息确认后选择告知承诺制办理方式，并上传相应PDF格式的学历学位证书电子文件，完成报考流程。</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lastRenderedPageBreak/>
        <w:t>2．对于使用我国居民身份证报名但信息在线核验未通过的， 以及使用非我国居民身份证件报名的人员，须联系报名考区人事考试机构进行处理。</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八、考前抽查和考后审查</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（一）考前抽查。考试机构在报名期间将对报考人员进行抽查，抽查结果无误的报考人员可进行缴费操作；抽查结果不通过的报考人员不可进行缴费操作。未被抽查的报考人员仍可进行缴费操作。</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（二）考后审查。</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1. 审查对象。截至2025年度，各科成绩均达到合格线的考生。</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2. 审查时间。中国人事考试网（http://www.cpta.com.cn/index.html）将在2025年7月下旬发布考试成绩，届时我省将在2025年8月上旬在“江苏人事考试网”（http://jshrss.jiangsu.gov.cn/col/col57253/index.html）发布审查公告，请考生务必保持报名注册时填报的手机号码畅通，以便及时接收相关友情提醒信息。</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3. 上传补充材料。审查部门对报考资格存疑的审查对象，将告知其须在规定时限登录“江苏省人力资源和社会保障厅网上办事大厅（https://rs.jshrss.jiangsu.gov.cn/index/）个人办事——人才人事——江苏省人事考试报名”上传补充证明材料，逾期未上传的视为放弃审查资格。</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4. 审查结果公示。省人事考试机构在江苏人事考试网（http://jshrss.jiangsu.gov.cn/col/col57253/index.html）——专业技术专栏公示符合发证资格的考生名单，公示期10天。</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lastRenderedPageBreak/>
        <w:t>5. 考后审查陈述申辩。审查对象依法享有陈述和申辩的权利。如对考后资格审查结果存在异议，可自接到查看审查结果短信通知或电话通知起7个工作日内，依法向设区市相关主管部门进行陈述和申辩，主管部门复核后作出答复，联系方式见《咨询服务电话》（附件2）。</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6. 报考人员不符合报考条件的，或者未按照资格审查要求办理报考相关事项的，按考试报名无效或者考试成绩无效处理，已缴考务费用不予退还。应试人员有故意隐瞒真实情况、提供虚假承诺或者以其他不正当手段取得相应资格证书或者成绩证明等严重违纪违规行为的，按照《专业技术人员资格考试违纪违规行为处理规定》（人力资源和社会保障部令第31号）处理，记入专业技术人员资格考试诚信档案库。涉嫌犯罪的，移送司法机关处理。</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九、证书发放</w:t>
      </w:r>
    </w:p>
    <w:p w:rsidR="00B040FF" w:rsidRPr="00B040FF" w:rsidRDefault="00B040FF" w:rsidP="00B040FF">
      <w:pPr>
        <w:widowControl/>
        <w:spacing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根据《人力资源社会保障部办公厅关于推行专业技术人员职业资格电子证书的通知》（人社厅发〔2021〕97号）文件规定和要求，可在中国人事考试网（www.cpta.com.cn）进行下载和查询验证专业技术人员职业资格电子证书。</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十、收费事宜</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根据省财政厅、原省物价局《关于部分人事考试收费试行标准转为正式标准的函》（苏价费函〔2010〕51号）精神，2025年度社会工作者职业资格考试的收费标准为：客观题按每人每科62元标准、主观题按每人每科68元标准、报名费按每人10元标准收取。</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十一、考试大纲</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lastRenderedPageBreak/>
        <w:t>2025年度全国社会工作者职业资格考试在沿用2018版考试大纲的基础上增补了部分内容，具体见中国人事考试网（www.cpta.com.cn）“考试大纲”——“社会工作者职业资格考试”栏目下《2025年度全国社会工作者职业资格考试增补内容说明》。</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“社会工作法规与政策”科目所涉及的政策法规，均以2024年12月31日前有效的政策法规为准。</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十二、其他事项</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（一）各设区市委社会工作部、市人力资源社会保障局及省直报名点根据职责分工，按照《2025年度社会工作者职业资格考试工作计划》（附件1）的要求，认真做好各个环节的考务工作。</w:t>
      </w:r>
    </w:p>
    <w:p w:rsidR="00B040FF" w:rsidRPr="00B040FF" w:rsidRDefault="00B040FF" w:rsidP="00B040FF">
      <w:pPr>
        <w:widowControl/>
        <w:spacing w:before="100" w:beforeAutospacing="1" w:after="100" w:afterAutospacing="1" w:line="560" w:lineRule="exact"/>
        <w:ind w:firstLineChars="200" w:firstLine="480"/>
        <w:jc w:val="left"/>
        <w:rPr>
          <w:rFonts w:asciiTheme="minorEastAsia" w:hAnsiTheme="minorEastAsia" w:cs="Helvetica"/>
          <w:color w:val="000000"/>
          <w:kern w:val="0"/>
          <w:sz w:val="24"/>
          <w:szCs w:val="24"/>
        </w:rPr>
      </w:pPr>
      <w:r w:rsidRPr="00B040FF">
        <w:rPr>
          <w:rFonts w:asciiTheme="minorEastAsia" w:hAnsiTheme="minorEastAsia" w:cs="Helvetica"/>
          <w:color w:val="000000"/>
          <w:kern w:val="0"/>
          <w:sz w:val="24"/>
          <w:szCs w:val="24"/>
        </w:rPr>
        <w:t>（二）本次考试结束后，阅卷部门将采用技术手段甄别雷同试卷，对被甄别为雷同答卷的，将给予该科目考试成绩无效的处理。应试人员应试时要妥善保管好自己的试卷和答题卡（纸），防止他人抄袭造成雷同答卷。</w:t>
      </w:r>
    </w:p>
    <w:p w:rsidR="0008792A" w:rsidRPr="00B040FF" w:rsidRDefault="0008792A" w:rsidP="00B040FF">
      <w:pPr>
        <w:spacing w:line="560" w:lineRule="exact"/>
        <w:ind w:firstLineChars="200" w:firstLine="480"/>
        <w:rPr>
          <w:rFonts w:asciiTheme="minorEastAsia" w:hAnsiTheme="minorEastAsia"/>
          <w:sz w:val="24"/>
          <w:szCs w:val="24"/>
        </w:rPr>
      </w:pPr>
    </w:p>
    <w:sectPr w:rsidR="0008792A" w:rsidRPr="00B040FF">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08792A" w:rsidRDefault="0008792A" w:rsidP="00B040FF">
      <w:r>
        <w:separator/>
      </w:r>
    </w:p>
  </w:endnote>
  <w:endnote w:type="continuationSeparator" w:id="1">
    <w:p w:rsidR="0008792A" w:rsidRDefault="0008792A" w:rsidP="00B040FF">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微软雅黑">
    <w:panose1 w:val="020B0503020204020204"/>
    <w:charset w:val="86"/>
    <w:family w:val="swiss"/>
    <w:pitch w:val="variable"/>
    <w:sig w:usb0="80000287" w:usb1="280F3C52" w:usb2="00000016" w:usb3="00000000" w:csb0="0004001F" w:csb1="00000000"/>
  </w:font>
  <w:font w:name="Helvetica">
    <w:panose1 w:val="020B0604020202020204"/>
    <w:charset w:val="00"/>
    <w:family w:val="swiss"/>
    <w:pitch w:val="variable"/>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08792A" w:rsidRDefault="0008792A" w:rsidP="00B040FF">
      <w:r>
        <w:separator/>
      </w:r>
    </w:p>
  </w:footnote>
  <w:footnote w:type="continuationSeparator" w:id="1">
    <w:p w:rsidR="0008792A" w:rsidRDefault="0008792A" w:rsidP="00B040FF">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bordersDoNotSurroundHeader/>
  <w:bordersDoNotSurroundFooter/>
  <w:defaultTabStop w:val="420"/>
  <w:drawingGridVerticalSpacing w:val="156"/>
  <w:displayHorizontalDrawingGridEvery w:val="0"/>
  <w:displayVerticalDrawingGridEvery w:val="2"/>
  <w:characterSpacingControl w:val="compressPunctuation"/>
  <w:hdrShapeDefaults>
    <o:shapedefaults v:ext="edit" spidmax="3074"/>
  </w:hdrShapeDefaults>
  <w:footnotePr>
    <w:footnote w:id="0"/>
    <w:footnote w:id="1"/>
  </w:footnotePr>
  <w:endnotePr>
    <w:endnote w:id="0"/>
    <w:endnote w:id="1"/>
  </w:endnotePr>
  <w:compat>
    <w:spaceForUL/>
    <w:balanceSingleByteDoubleByteWidth/>
    <w:doNotLeaveBackslashAlone/>
    <w:ulTrailSpace/>
    <w:doNotExpandShiftReturn/>
    <w:adjustLineHeightInTable/>
    <w:useFELayout/>
  </w:compat>
  <w:rsids>
    <w:rsidRoot w:val="00B040FF"/>
    <w:rsid w:val="0008792A"/>
    <w:rsid w:val="00B040FF"/>
    <w:rsid w:val="00C15FC8"/>
  </w:rsids>
  <m:mathPr>
    <m:mathFont m:val="Cambria Math"/>
    <m:brkBin m:val="before"/>
    <m:brkBinSub m:val="--"/>
    <m:smallFrac m:val="off"/>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2"/>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pPr>
      <w:widowControl w:val="0"/>
      <w:jc w:val="both"/>
    </w:pPr>
  </w:style>
  <w:style w:type="character" w:default="1" w:styleId="a0">
    <w:name w:val="Default Paragraph Font"/>
    <w:uiPriority w:val="1"/>
    <w:semiHidden/>
    <w:unhideWhenUsed/>
  </w:style>
  <w:style w:type="table" w:default="1" w:styleId="a1">
    <w:name w:val="Normal Table"/>
    <w:uiPriority w:val="99"/>
    <w:semiHidden/>
    <w:unhideWhenUsed/>
    <w:qFormat/>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semiHidden/>
    <w:unhideWhenUsed/>
    <w:rsid w:val="00B040FF"/>
    <w:pPr>
      <w:pBdr>
        <w:bottom w:val="single" w:sz="6" w:space="1" w:color="auto"/>
      </w:pBdr>
      <w:tabs>
        <w:tab w:val="center" w:pos="4153"/>
        <w:tab w:val="right" w:pos="8306"/>
      </w:tabs>
      <w:snapToGrid w:val="0"/>
      <w:jc w:val="center"/>
    </w:pPr>
    <w:rPr>
      <w:sz w:val="18"/>
      <w:szCs w:val="18"/>
    </w:rPr>
  </w:style>
  <w:style w:type="character" w:customStyle="1" w:styleId="Char">
    <w:name w:val="页眉 Char"/>
    <w:basedOn w:val="a0"/>
    <w:link w:val="a3"/>
    <w:uiPriority w:val="99"/>
    <w:semiHidden/>
    <w:rsid w:val="00B040FF"/>
    <w:rPr>
      <w:sz w:val="18"/>
      <w:szCs w:val="18"/>
    </w:rPr>
  </w:style>
  <w:style w:type="paragraph" w:styleId="a4">
    <w:name w:val="footer"/>
    <w:basedOn w:val="a"/>
    <w:link w:val="Char0"/>
    <w:uiPriority w:val="99"/>
    <w:semiHidden/>
    <w:unhideWhenUsed/>
    <w:rsid w:val="00B040FF"/>
    <w:pPr>
      <w:tabs>
        <w:tab w:val="center" w:pos="4153"/>
        <w:tab w:val="right" w:pos="8306"/>
      </w:tabs>
      <w:snapToGrid w:val="0"/>
      <w:jc w:val="left"/>
    </w:pPr>
    <w:rPr>
      <w:sz w:val="18"/>
      <w:szCs w:val="18"/>
    </w:rPr>
  </w:style>
  <w:style w:type="character" w:customStyle="1" w:styleId="Char0">
    <w:name w:val="页脚 Char"/>
    <w:basedOn w:val="a0"/>
    <w:link w:val="a4"/>
    <w:uiPriority w:val="99"/>
    <w:semiHidden/>
    <w:rsid w:val="00B040FF"/>
    <w:rPr>
      <w:sz w:val="18"/>
      <w:szCs w:val="18"/>
    </w:rPr>
  </w:style>
  <w:style w:type="character" w:customStyle="1" w:styleId="pczt">
    <w:name w:val="pczt"/>
    <w:basedOn w:val="a0"/>
    <w:rsid w:val="00B040FF"/>
  </w:style>
  <w:style w:type="character" w:styleId="a5">
    <w:name w:val="Hyperlink"/>
    <w:basedOn w:val="a0"/>
    <w:uiPriority w:val="99"/>
    <w:semiHidden/>
    <w:unhideWhenUsed/>
    <w:rsid w:val="00B040FF"/>
    <w:rPr>
      <w:color w:val="0000FF"/>
      <w:u w:val="single"/>
    </w:rPr>
  </w:style>
  <w:style w:type="paragraph" w:styleId="a6">
    <w:name w:val="Normal (Web)"/>
    <w:basedOn w:val="a"/>
    <w:uiPriority w:val="99"/>
    <w:unhideWhenUsed/>
    <w:rsid w:val="00B040FF"/>
    <w:pPr>
      <w:widowControl/>
      <w:spacing w:before="100" w:beforeAutospacing="1" w:after="100" w:afterAutospacing="1"/>
      <w:jc w:val="left"/>
    </w:pPr>
    <w:rPr>
      <w:rFonts w:ascii="宋体" w:eastAsia="宋体" w:hAnsi="宋体" w:cs="宋体"/>
      <w:kern w:val="0"/>
      <w:sz w:val="24"/>
      <w:szCs w:val="24"/>
    </w:rPr>
  </w:style>
  <w:style w:type="character" w:styleId="a7">
    <w:name w:val="Strong"/>
    <w:basedOn w:val="a0"/>
    <w:uiPriority w:val="22"/>
    <w:qFormat/>
    <w:rsid w:val="00B040FF"/>
    <w:rPr>
      <w:b/>
      <w:bCs/>
    </w:rPr>
  </w:style>
</w:styles>
</file>

<file path=word/webSettings.xml><?xml version="1.0" encoding="utf-8"?>
<w:webSettings xmlns:r="http://schemas.openxmlformats.org/officeDocument/2006/relationships" xmlns:w="http://schemas.openxmlformats.org/wordprocessingml/2006/main">
  <w:divs>
    <w:div w:id="1189567325">
      <w:bodyDiv w:val="1"/>
      <w:marLeft w:val="0"/>
      <w:marRight w:val="0"/>
      <w:marTop w:val="0"/>
      <w:marBottom w:val="0"/>
      <w:divBdr>
        <w:top w:val="none" w:sz="0" w:space="0" w:color="auto"/>
        <w:left w:val="none" w:sz="0" w:space="0" w:color="auto"/>
        <w:bottom w:val="none" w:sz="0" w:space="0" w:color="auto"/>
        <w:right w:val="none" w:sz="0" w:space="0" w:color="auto"/>
      </w:divBdr>
      <w:divsChild>
        <w:div w:id="1678533111">
          <w:marLeft w:val="0"/>
          <w:marRight w:val="0"/>
          <w:marTop w:val="0"/>
          <w:marBottom w:val="0"/>
          <w:divBdr>
            <w:top w:val="none" w:sz="0" w:space="0" w:color="auto"/>
            <w:left w:val="none" w:sz="0" w:space="0" w:color="auto"/>
            <w:bottom w:val="single" w:sz="24" w:space="0" w:color="DEDEDE"/>
            <w:right w:val="none" w:sz="0" w:space="0" w:color="auto"/>
          </w:divBdr>
        </w:div>
        <w:div w:id="1963075642">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11</Pages>
  <Words>876</Words>
  <Characters>4997</Characters>
  <Application>Microsoft Office Word</Application>
  <DocSecurity>0</DocSecurity>
  <Lines>41</Lines>
  <Paragraphs>11</Paragraphs>
  <ScaleCrop>false</ScaleCrop>
  <Company>Microsoft</Company>
  <LinksUpToDate>false</LinksUpToDate>
  <CharactersWithSpaces>5862</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LH</dc:creator>
  <cp:keywords/>
  <dc:description/>
  <cp:lastModifiedBy>LH</cp:lastModifiedBy>
  <cp:revision>3</cp:revision>
  <dcterms:created xsi:type="dcterms:W3CDTF">2025-03-10T01:13:00Z</dcterms:created>
  <dcterms:modified xsi:type="dcterms:W3CDTF">2025-03-10T01:14:00Z</dcterms:modified>
</cp:coreProperties>
</file>