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81C1F">
      <w:pPr>
        <w:jc w:val="center"/>
        <w:rPr>
          <w:rFonts w:hint="eastAsia" w:ascii="宋体" w:hAnsi="宋体" w:eastAsiaTheme="minorEastAsia"/>
          <w:b/>
          <w:bCs/>
          <w:sz w:val="52"/>
          <w:highlight w:val="none"/>
          <w:lang w:eastAsia="zh-CN"/>
        </w:rPr>
      </w:pPr>
      <w:r>
        <w:rPr>
          <w:rFonts w:ascii="宋体" w:hAnsi="宋体"/>
          <w:b/>
          <w:bCs/>
          <w:sz w:val="52"/>
          <w:highlight w:val="none"/>
        </w:rPr>
        <w:t>宜兴市公用投资管理有限公司</w:t>
      </w:r>
      <w:r>
        <w:rPr>
          <w:rFonts w:hint="eastAsia" w:ascii="宋体" w:hAnsi="宋体"/>
          <w:b/>
          <w:bCs/>
          <w:sz w:val="52"/>
          <w:highlight w:val="none"/>
          <w:lang w:eastAsia="zh-CN"/>
        </w:rPr>
        <w:t>新建小区无负压供水设备（2025年第三批）</w:t>
      </w:r>
    </w:p>
    <w:p w14:paraId="360C7C85">
      <w:pPr>
        <w:jc w:val="center"/>
        <w:rPr>
          <w:rFonts w:ascii="宋体" w:hAnsi="宋体"/>
          <w:b/>
          <w:bCs/>
          <w:sz w:val="52"/>
          <w:highlight w:val="none"/>
        </w:rPr>
      </w:pPr>
    </w:p>
    <w:p w14:paraId="57AFB03B">
      <w:pPr>
        <w:jc w:val="center"/>
        <w:rPr>
          <w:rFonts w:ascii="黑体" w:hAnsi="黑体" w:eastAsia="黑体"/>
          <w:b/>
          <w:bCs/>
          <w:sz w:val="96"/>
          <w:szCs w:val="96"/>
          <w:highlight w:val="none"/>
        </w:rPr>
      </w:pPr>
      <w:r>
        <w:rPr>
          <w:rFonts w:hint="eastAsia" w:ascii="黑体" w:hAnsi="黑体" w:eastAsia="黑体"/>
          <w:b/>
          <w:bCs/>
          <w:sz w:val="96"/>
          <w:szCs w:val="96"/>
          <w:highlight w:val="none"/>
        </w:rPr>
        <w:t>招</w:t>
      </w:r>
    </w:p>
    <w:p w14:paraId="53D27147">
      <w:pPr>
        <w:jc w:val="center"/>
        <w:rPr>
          <w:rFonts w:ascii="黑体" w:hAnsi="黑体" w:eastAsia="黑体"/>
          <w:b/>
          <w:bCs/>
          <w:sz w:val="96"/>
          <w:szCs w:val="96"/>
          <w:highlight w:val="none"/>
        </w:rPr>
      </w:pPr>
      <w:r>
        <w:rPr>
          <w:rFonts w:hint="eastAsia" w:ascii="黑体" w:hAnsi="黑体" w:eastAsia="黑体"/>
          <w:b/>
          <w:bCs/>
          <w:sz w:val="96"/>
          <w:szCs w:val="96"/>
          <w:highlight w:val="none"/>
        </w:rPr>
        <w:t>标</w:t>
      </w:r>
    </w:p>
    <w:p w14:paraId="0613EA3E">
      <w:pPr>
        <w:jc w:val="center"/>
        <w:rPr>
          <w:rFonts w:ascii="黑体" w:hAnsi="黑体" w:eastAsia="黑体"/>
          <w:b/>
          <w:bCs/>
          <w:sz w:val="96"/>
          <w:szCs w:val="96"/>
          <w:highlight w:val="none"/>
        </w:rPr>
      </w:pPr>
      <w:r>
        <w:rPr>
          <w:rFonts w:hint="eastAsia" w:ascii="黑体" w:hAnsi="黑体" w:eastAsia="黑体"/>
          <w:b/>
          <w:bCs/>
          <w:sz w:val="96"/>
          <w:szCs w:val="96"/>
          <w:highlight w:val="none"/>
        </w:rPr>
        <w:t>文</w:t>
      </w:r>
    </w:p>
    <w:p w14:paraId="4863277B">
      <w:pPr>
        <w:jc w:val="center"/>
        <w:rPr>
          <w:rFonts w:ascii="黑体" w:hAnsi="黑体" w:eastAsia="黑体"/>
          <w:b/>
          <w:bCs/>
          <w:sz w:val="96"/>
          <w:szCs w:val="96"/>
          <w:highlight w:val="none"/>
        </w:rPr>
      </w:pPr>
      <w:r>
        <w:rPr>
          <w:rFonts w:hint="eastAsia" w:ascii="黑体" w:hAnsi="黑体" w:eastAsia="黑体"/>
          <w:b/>
          <w:bCs/>
          <w:sz w:val="96"/>
          <w:szCs w:val="96"/>
          <w:highlight w:val="none"/>
        </w:rPr>
        <w:t>件</w:t>
      </w:r>
    </w:p>
    <w:p w14:paraId="2543891D">
      <w:pPr>
        <w:jc w:val="center"/>
        <w:rPr>
          <w:rFonts w:ascii="宋体" w:hAnsi="宋体"/>
          <w:b/>
          <w:bCs/>
          <w:sz w:val="84"/>
          <w:highlight w:val="none"/>
        </w:rPr>
      </w:pPr>
    </w:p>
    <w:p w14:paraId="24A6D106">
      <w:pPr>
        <w:ind w:firstLine="1440" w:firstLineChars="450"/>
        <w:jc w:val="left"/>
        <w:rPr>
          <w:rFonts w:ascii="宋体" w:hAnsi="宋体"/>
          <w:sz w:val="32"/>
          <w:highlight w:val="none"/>
        </w:rPr>
      </w:pPr>
      <w:r>
        <w:rPr>
          <w:rFonts w:hint="eastAsia" w:ascii="宋体" w:hAnsi="宋体"/>
          <w:sz w:val="32"/>
          <w:highlight w:val="none"/>
        </w:rPr>
        <w:t>项目编号：</w:t>
      </w:r>
      <w:r>
        <w:rPr>
          <w:rFonts w:hint="eastAsia" w:ascii="宋体" w:hAnsi="宋体"/>
          <w:sz w:val="32"/>
          <w:highlight w:val="none"/>
          <w:lang w:eastAsia="zh-CN"/>
        </w:rPr>
        <w:t>YXGQ2025333</w:t>
      </w:r>
      <w:r>
        <w:rPr>
          <w:rFonts w:hint="eastAsia" w:ascii="宋体" w:hAnsi="宋体"/>
          <w:sz w:val="32"/>
          <w:highlight w:val="none"/>
        </w:rPr>
        <w:t xml:space="preserve"> </w:t>
      </w:r>
    </w:p>
    <w:p w14:paraId="72906BA6">
      <w:pPr>
        <w:ind w:firstLine="1440" w:firstLineChars="450"/>
        <w:rPr>
          <w:rFonts w:ascii="宋体" w:hAnsi="宋体"/>
          <w:sz w:val="32"/>
          <w:highlight w:val="none"/>
        </w:rPr>
      </w:pPr>
      <w:r>
        <w:rPr>
          <w:rFonts w:hint="eastAsia" w:ascii="宋体" w:hAnsi="宋体"/>
          <w:sz w:val="32"/>
          <w:highlight w:val="none"/>
        </w:rPr>
        <w:t>采购人：宜兴市公用投资管理有限公司</w:t>
      </w:r>
    </w:p>
    <w:p w14:paraId="1D951946">
      <w:pPr>
        <w:ind w:firstLine="1440" w:firstLineChars="450"/>
        <w:rPr>
          <w:rFonts w:hint="eastAsia" w:ascii="宋体" w:hAnsi="宋体" w:eastAsiaTheme="minorEastAsia"/>
          <w:sz w:val="32"/>
          <w:highlight w:val="none"/>
          <w:lang w:eastAsia="zh-CN"/>
        </w:rPr>
      </w:pPr>
      <w:r>
        <w:rPr>
          <w:rFonts w:hint="eastAsia" w:ascii="宋体" w:hAnsi="宋体"/>
          <w:sz w:val="32"/>
          <w:highlight w:val="none"/>
        </w:rPr>
        <w:t>采购代理机构：</w:t>
      </w:r>
      <w:r>
        <w:rPr>
          <w:rFonts w:hint="eastAsia" w:ascii="宋体" w:hAnsi="宋体"/>
          <w:sz w:val="32"/>
          <w:highlight w:val="none"/>
          <w:lang w:eastAsia="zh-CN"/>
        </w:rPr>
        <w:t>江苏益诚建设工程咨询有限公司</w:t>
      </w:r>
    </w:p>
    <w:p w14:paraId="64190778">
      <w:pPr>
        <w:jc w:val="center"/>
        <w:rPr>
          <w:rFonts w:ascii="宋体" w:hAnsi="宋体"/>
          <w:sz w:val="32"/>
          <w:highlight w:val="none"/>
        </w:rPr>
      </w:pPr>
      <w:r>
        <w:rPr>
          <w:rFonts w:hint="eastAsia" w:ascii="宋体" w:hAnsi="宋体"/>
          <w:sz w:val="32"/>
          <w:highlight w:val="none"/>
          <w:lang w:val="en-US" w:eastAsia="zh-CN"/>
        </w:rPr>
        <w:t>2025年9月18日</w:t>
      </w:r>
    </w:p>
    <w:p w14:paraId="18A4B3FF">
      <w:pPr>
        <w:rPr>
          <w:highlight w:val="none"/>
        </w:rPr>
      </w:pPr>
    </w:p>
    <w:p w14:paraId="25AB578E">
      <w:pPr>
        <w:rPr>
          <w:rStyle w:val="31"/>
          <w:highlight w:val="none"/>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651D2D54">
      <w:pPr>
        <w:rPr>
          <w:rStyle w:val="31"/>
          <w:rFonts w:eastAsia="黑体"/>
          <w:bCs/>
          <w:sz w:val="48"/>
          <w:highlight w:val="none"/>
        </w:rPr>
      </w:pPr>
    </w:p>
    <w:p w14:paraId="2C30314E">
      <w:pPr>
        <w:jc w:val="center"/>
        <w:rPr>
          <w:rStyle w:val="31"/>
          <w:rFonts w:eastAsia="黑体"/>
          <w:bCs/>
          <w:sz w:val="48"/>
          <w:highlight w:val="none"/>
        </w:rPr>
      </w:pPr>
      <w:r>
        <w:rPr>
          <w:rStyle w:val="31"/>
          <w:rFonts w:hint="eastAsia" w:eastAsia="黑体"/>
          <w:bCs/>
          <w:sz w:val="48"/>
          <w:highlight w:val="none"/>
        </w:rPr>
        <w:t>目录</w:t>
      </w:r>
    </w:p>
    <w:p w14:paraId="500CACBD">
      <w:pPr>
        <w:jc w:val="center"/>
        <w:rPr>
          <w:rFonts w:ascii="黑体" w:eastAsia="黑体"/>
          <w:bCs/>
          <w:sz w:val="30"/>
          <w:highlight w:val="none"/>
        </w:rPr>
      </w:pPr>
    </w:p>
    <w:p w14:paraId="04A9872F">
      <w:pPr>
        <w:jc w:val="center"/>
        <w:rPr>
          <w:rFonts w:ascii="黑体" w:eastAsia="黑体"/>
          <w:bCs/>
          <w:sz w:val="44"/>
          <w:highlight w:val="none"/>
        </w:rPr>
      </w:pPr>
    </w:p>
    <w:p w14:paraId="00C61817">
      <w:pPr>
        <w:pStyle w:val="21"/>
        <w:tabs>
          <w:tab w:val="right" w:leader="dot" w:pos="9629"/>
        </w:tabs>
        <w:rPr>
          <w:rFonts w:ascii="Calibri" w:hAnsi="Calibri"/>
          <w:sz w:val="32"/>
          <w:szCs w:val="22"/>
          <w:highlight w:val="none"/>
        </w:rPr>
      </w:pPr>
      <w:r>
        <w:rPr>
          <w:rFonts w:hint="eastAsia" w:ascii="黑体" w:hAnsi="黑体" w:eastAsia="黑体" w:cs="黑体"/>
          <w:sz w:val="48"/>
          <w:szCs w:val="32"/>
          <w:highlight w:val="none"/>
        </w:rPr>
        <w:fldChar w:fldCharType="begin"/>
      </w:r>
      <w:r>
        <w:rPr>
          <w:rFonts w:hint="eastAsia" w:ascii="黑体" w:hAnsi="黑体" w:eastAsia="黑体" w:cs="黑体"/>
          <w:sz w:val="48"/>
          <w:szCs w:val="32"/>
          <w:highlight w:val="none"/>
        </w:rPr>
        <w:instrText xml:space="preserve">TOC \o "1-1" \h  \u </w:instrText>
      </w:r>
      <w:r>
        <w:rPr>
          <w:rFonts w:hint="eastAsia" w:ascii="黑体" w:hAnsi="黑体" w:eastAsia="黑体" w:cs="黑体"/>
          <w:sz w:val="48"/>
          <w:szCs w:val="32"/>
          <w:highlight w:val="none"/>
        </w:rPr>
        <w:fldChar w:fldCharType="separate"/>
      </w:r>
      <w:r>
        <w:rPr>
          <w:highlight w:val="none"/>
        </w:rPr>
        <w:fldChar w:fldCharType="begin"/>
      </w:r>
      <w:r>
        <w:rPr>
          <w:highlight w:val="none"/>
        </w:rPr>
        <w:instrText xml:space="preserve"> HYPERLINK \l "_Toc64637564" </w:instrText>
      </w:r>
      <w:r>
        <w:rPr>
          <w:highlight w:val="none"/>
        </w:rPr>
        <w:fldChar w:fldCharType="separate"/>
      </w:r>
      <w:r>
        <w:rPr>
          <w:rStyle w:val="32"/>
          <w:rFonts w:hint="eastAsia" w:ascii="黑体" w:hAnsi="黑体" w:eastAsia="黑体"/>
          <w:sz w:val="32"/>
          <w:highlight w:val="none"/>
        </w:rPr>
        <w:t>第一章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投标邀请函</w:t>
      </w:r>
      <w:r>
        <w:rPr>
          <w:sz w:val="32"/>
          <w:highlight w:val="none"/>
        </w:rPr>
        <w:tab/>
      </w:r>
      <w:r>
        <w:rPr>
          <w:rFonts w:hint="eastAsia"/>
          <w:sz w:val="32"/>
          <w:highlight w:val="none"/>
          <w:lang w:val="en-US" w:eastAsia="zh-CN"/>
        </w:rPr>
        <w:t>1</w:t>
      </w:r>
      <w:r>
        <w:rPr>
          <w:sz w:val="32"/>
          <w:highlight w:val="none"/>
        </w:rPr>
        <w:fldChar w:fldCharType="end"/>
      </w:r>
    </w:p>
    <w:p w14:paraId="2769C7D6">
      <w:pPr>
        <w:pStyle w:val="21"/>
        <w:tabs>
          <w:tab w:val="right" w:leader="dot" w:pos="9629"/>
        </w:tabs>
        <w:rPr>
          <w:rFonts w:ascii="Calibri" w:hAnsi="Calibri"/>
          <w:sz w:val="32"/>
          <w:szCs w:val="22"/>
          <w:highlight w:val="none"/>
        </w:rPr>
      </w:pPr>
      <w:r>
        <w:rPr>
          <w:highlight w:val="none"/>
        </w:rPr>
        <w:fldChar w:fldCharType="begin"/>
      </w:r>
      <w:r>
        <w:rPr>
          <w:highlight w:val="none"/>
        </w:rPr>
        <w:instrText xml:space="preserve"> HYPERLINK \l "_Toc64637565" </w:instrText>
      </w:r>
      <w:r>
        <w:rPr>
          <w:highlight w:val="none"/>
        </w:rPr>
        <w:fldChar w:fldCharType="separate"/>
      </w:r>
      <w:r>
        <w:rPr>
          <w:rStyle w:val="32"/>
          <w:rFonts w:hint="eastAsia" w:ascii="黑体" w:hAnsi="黑体" w:eastAsia="黑体"/>
          <w:sz w:val="32"/>
          <w:highlight w:val="none"/>
        </w:rPr>
        <w:t>第二章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投标人须知</w:t>
      </w:r>
      <w:r>
        <w:rPr>
          <w:sz w:val="32"/>
          <w:highlight w:val="none"/>
        </w:rPr>
        <w:tab/>
      </w:r>
      <w:r>
        <w:rPr>
          <w:rFonts w:hint="eastAsia"/>
          <w:sz w:val="32"/>
          <w:highlight w:val="none"/>
          <w:lang w:val="en-US" w:eastAsia="zh-CN"/>
        </w:rPr>
        <w:t>4</w:t>
      </w:r>
      <w:r>
        <w:rPr>
          <w:sz w:val="32"/>
          <w:highlight w:val="none"/>
        </w:rPr>
        <w:fldChar w:fldCharType="end"/>
      </w:r>
    </w:p>
    <w:p w14:paraId="65A6FAA0">
      <w:pPr>
        <w:pStyle w:val="21"/>
        <w:tabs>
          <w:tab w:val="right" w:leader="dot" w:pos="9629"/>
        </w:tabs>
        <w:rPr>
          <w:rFonts w:ascii="Calibri" w:hAnsi="Calibri"/>
          <w:sz w:val="32"/>
          <w:szCs w:val="22"/>
          <w:highlight w:val="none"/>
        </w:rPr>
      </w:pPr>
      <w:r>
        <w:rPr>
          <w:highlight w:val="none"/>
        </w:rPr>
        <w:fldChar w:fldCharType="begin"/>
      </w:r>
      <w:r>
        <w:rPr>
          <w:highlight w:val="none"/>
        </w:rPr>
        <w:instrText xml:space="preserve"> HYPERLINK \l "_Toc64637566" </w:instrText>
      </w:r>
      <w:r>
        <w:rPr>
          <w:highlight w:val="none"/>
        </w:rPr>
        <w:fldChar w:fldCharType="separate"/>
      </w:r>
      <w:r>
        <w:rPr>
          <w:rStyle w:val="32"/>
          <w:rFonts w:hint="eastAsia" w:ascii="黑体" w:hAnsi="黑体" w:eastAsia="黑体"/>
          <w:sz w:val="32"/>
          <w:highlight w:val="none"/>
        </w:rPr>
        <w:t>第三章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评标方法和标准</w:t>
      </w:r>
      <w:r>
        <w:rPr>
          <w:sz w:val="32"/>
          <w:highlight w:val="none"/>
        </w:rPr>
        <w:tab/>
      </w:r>
      <w:r>
        <w:rPr>
          <w:sz w:val="32"/>
          <w:highlight w:val="none"/>
        </w:rPr>
        <w:fldChar w:fldCharType="begin"/>
      </w:r>
      <w:r>
        <w:rPr>
          <w:sz w:val="32"/>
          <w:highlight w:val="none"/>
        </w:rPr>
        <w:instrText xml:space="preserve"> PAGEREF _Toc64637566 \h </w:instrText>
      </w:r>
      <w:r>
        <w:rPr>
          <w:sz w:val="32"/>
          <w:highlight w:val="none"/>
        </w:rPr>
        <w:fldChar w:fldCharType="separate"/>
      </w:r>
      <w:r>
        <w:rPr>
          <w:sz w:val="32"/>
          <w:highlight w:val="none"/>
        </w:rPr>
        <w:t>14</w:t>
      </w:r>
      <w:r>
        <w:rPr>
          <w:sz w:val="32"/>
          <w:highlight w:val="none"/>
        </w:rPr>
        <w:fldChar w:fldCharType="end"/>
      </w:r>
      <w:r>
        <w:rPr>
          <w:sz w:val="32"/>
          <w:highlight w:val="none"/>
        </w:rPr>
        <w:fldChar w:fldCharType="end"/>
      </w:r>
    </w:p>
    <w:p w14:paraId="4D5124C0">
      <w:pPr>
        <w:pStyle w:val="21"/>
        <w:tabs>
          <w:tab w:val="right" w:leader="dot" w:pos="9629"/>
        </w:tabs>
        <w:rPr>
          <w:rFonts w:ascii="Calibri" w:hAnsi="Calibri"/>
          <w:sz w:val="32"/>
          <w:szCs w:val="22"/>
          <w:highlight w:val="none"/>
        </w:rPr>
      </w:pPr>
      <w:r>
        <w:rPr>
          <w:highlight w:val="none"/>
        </w:rPr>
        <w:fldChar w:fldCharType="begin"/>
      </w:r>
      <w:r>
        <w:rPr>
          <w:highlight w:val="none"/>
        </w:rPr>
        <w:instrText xml:space="preserve"> HYPERLINK \l "_Toc64637567" </w:instrText>
      </w:r>
      <w:r>
        <w:rPr>
          <w:highlight w:val="none"/>
        </w:rPr>
        <w:fldChar w:fldCharType="separate"/>
      </w:r>
      <w:r>
        <w:rPr>
          <w:rStyle w:val="32"/>
          <w:rFonts w:hint="eastAsia" w:ascii="黑体" w:hAnsi="黑体" w:eastAsia="黑体"/>
          <w:sz w:val="32"/>
          <w:highlight w:val="none"/>
        </w:rPr>
        <w:t>第四章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项目技术要求和有关说明</w:t>
      </w:r>
      <w:r>
        <w:rPr>
          <w:sz w:val="32"/>
          <w:highlight w:val="none"/>
        </w:rPr>
        <w:tab/>
      </w:r>
      <w:r>
        <w:rPr>
          <w:rFonts w:hint="eastAsia"/>
          <w:sz w:val="32"/>
          <w:highlight w:val="none"/>
          <w:lang w:val="en-US" w:eastAsia="zh-CN"/>
        </w:rPr>
        <w:t>19</w:t>
      </w:r>
      <w:r>
        <w:rPr>
          <w:sz w:val="32"/>
          <w:highlight w:val="none"/>
        </w:rPr>
        <w:fldChar w:fldCharType="end"/>
      </w:r>
    </w:p>
    <w:p w14:paraId="1EC4B48B">
      <w:pPr>
        <w:pStyle w:val="21"/>
        <w:tabs>
          <w:tab w:val="right" w:leader="dot" w:pos="9629"/>
        </w:tabs>
        <w:rPr>
          <w:rFonts w:hint="eastAsia" w:eastAsia="宋体"/>
          <w:highlight w:val="none"/>
          <w:lang w:val="en-US" w:eastAsia="zh-CN"/>
        </w:rPr>
      </w:pPr>
      <w:r>
        <w:rPr>
          <w:highlight w:val="none"/>
        </w:rPr>
        <w:fldChar w:fldCharType="begin"/>
      </w:r>
      <w:r>
        <w:rPr>
          <w:highlight w:val="none"/>
        </w:rPr>
        <w:instrText xml:space="preserve"> HYPERLINK \l "_Toc64637567" </w:instrText>
      </w:r>
      <w:r>
        <w:rPr>
          <w:highlight w:val="none"/>
        </w:rPr>
        <w:fldChar w:fldCharType="separate"/>
      </w:r>
      <w:r>
        <w:rPr>
          <w:rStyle w:val="32"/>
          <w:rFonts w:hint="eastAsia" w:ascii="黑体" w:hAnsi="黑体" w:eastAsia="黑体"/>
          <w:sz w:val="32"/>
          <w:highlight w:val="none"/>
        </w:rPr>
        <w:t>第</w:t>
      </w:r>
      <w:r>
        <w:rPr>
          <w:rStyle w:val="32"/>
          <w:rFonts w:hint="eastAsia" w:ascii="黑体" w:hAnsi="黑体" w:eastAsia="黑体"/>
          <w:sz w:val="32"/>
          <w:highlight w:val="none"/>
          <w:lang w:val="en-US" w:eastAsia="zh-CN"/>
        </w:rPr>
        <w:t>五</w:t>
      </w:r>
      <w:r>
        <w:rPr>
          <w:rStyle w:val="32"/>
          <w:rFonts w:hint="eastAsia" w:ascii="黑体" w:hAnsi="黑体" w:eastAsia="黑体"/>
          <w:sz w:val="32"/>
          <w:highlight w:val="none"/>
        </w:rPr>
        <w:t>章</w:t>
      </w:r>
      <w:r>
        <w:rPr>
          <w:rStyle w:val="32"/>
          <w:rFonts w:hint="eastAsia" w:ascii="黑体" w:hAnsi="黑体" w:eastAsia="黑体"/>
          <w:sz w:val="32"/>
          <w:highlight w:val="none"/>
          <w:lang w:val="en-US" w:eastAsia="zh-CN"/>
        </w:rPr>
        <w:t xml:space="preserve"> 合同书</w:t>
      </w:r>
      <w:r>
        <w:rPr>
          <w:sz w:val="32"/>
          <w:highlight w:val="none"/>
        </w:rPr>
        <w:tab/>
      </w:r>
      <w:r>
        <w:rPr>
          <w:rFonts w:hint="eastAsia"/>
          <w:sz w:val="32"/>
          <w:highlight w:val="none"/>
          <w:lang w:val="en-US" w:eastAsia="zh-CN"/>
        </w:rPr>
        <w:t>3</w:t>
      </w:r>
      <w:r>
        <w:rPr>
          <w:sz w:val="32"/>
          <w:highlight w:val="none"/>
        </w:rPr>
        <w:fldChar w:fldCharType="end"/>
      </w:r>
      <w:r>
        <w:rPr>
          <w:rFonts w:hint="eastAsia"/>
          <w:sz w:val="32"/>
          <w:highlight w:val="none"/>
          <w:lang w:val="en-US" w:eastAsia="zh-CN"/>
        </w:rPr>
        <w:t>2</w:t>
      </w:r>
    </w:p>
    <w:p w14:paraId="57056AB7">
      <w:pPr>
        <w:pStyle w:val="21"/>
        <w:tabs>
          <w:tab w:val="right" w:leader="dot" w:pos="9629"/>
        </w:tabs>
        <w:rPr>
          <w:rFonts w:hint="eastAsia" w:ascii="Calibri" w:hAnsi="Calibri" w:eastAsia="宋体"/>
          <w:sz w:val="32"/>
          <w:szCs w:val="22"/>
          <w:highlight w:val="none"/>
          <w:lang w:val="en-US" w:eastAsia="zh-CN"/>
        </w:rPr>
      </w:pPr>
      <w:r>
        <w:rPr>
          <w:highlight w:val="none"/>
        </w:rPr>
        <w:fldChar w:fldCharType="begin"/>
      </w:r>
      <w:r>
        <w:rPr>
          <w:highlight w:val="none"/>
        </w:rPr>
        <w:instrText xml:space="preserve"> HYPERLINK \l "_Toc64637568" </w:instrText>
      </w:r>
      <w:r>
        <w:rPr>
          <w:highlight w:val="none"/>
        </w:rPr>
        <w:fldChar w:fldCharType="separate"/>
      </w:r>
      <w:r>
        <w:rPr>
          <w:rStyle w:val="32"/>
          <w:rFonts w:hint="eastAsia" w:ascii="黑体" w:hAnsi="黑体" w:eastAsia="黑体"/>
          <w:sz w:val="32"/>
          <w:highlight w:val="none"/>
        </w:rPr>
        <w:t>第六章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合同条款</w:t>
      </w:r>
      <w:r>
        <w:rPr>
          <w:sz w:val="32"/>
          <w:highlight w:val="none"/>
        </w:rPr>
        <w:tab/>
      </w:r>
      <w:r>
        <w:rPr>
          <w:rFonts w:hint="eastAsia"/>
          <w:sz w:val="32"/>
          <w:highlight w:val="none"/>
          <w:lang w:val="en-US" w:eastAsia="zh-CN"/>
        </w:rPr>
        <w:t>3</w:t>
      </w:r>
      <w:r>
        <w:rPr>
          <w:sz w:val="32"/>
          <w:highlight w:val="none"/>
        </w:rPr>
        <w:fldChar w:fldCharType="end"/>
      </w:r>
      <w:r>
        <w:rPr>
          <w:rFonts w:hint="eastAsia"/>
          <w:sz w:val="32"/>
          <w:highlight w:val="none"/>
          <w:lang w:val="en-US" w:eastAsia="zh-CN"/>
        </w:rPr>
        <w:t>3</w:t>
      </w:r>
    </w:p>
    <w:p w14:paraId="10BA8AF6">
      <w:pPr>
        <w:pStyle w:val="21"/>
        <w:tabs>
          <w:tab w:val="right" w:leader="dot" w:pos="9629"/>
        </w:tabs>
        <w:rPr>
          <w:rFonts w:hint="eastAsia" w:ascii="Calibri" w:hAnsi="Calibri" w:eastAsia="宋体"/>
          <w:sz w:val="32"/>
          <w:szCs w:val="22"/>
          <w:highlight w:val="none"/>
          <w:lang w:val="en-US" w:eastAsia="zh-CN"/>
        </w:rPr>
      </w:pPr>
      <w:r>
        <w:rPr>
          <w:highlight w:val="none"/>
        </w:rPr>
        <w:fldChar w:fldCharType="begin"/>
      </w:r>
      <w:r>
        <w:rPr>
          <w:highlight w:val="none"/>
        </w:rPr>
        <w:instrText xml:space="preserve"> HYPERLINK \l "_Toc64637570" </w:instrText>
      </w:r>
      <w:r>
        <w:rPr>
          <w:highlight w:val="none"/>
        </w:rPr>
        <w:fldChar w:fldCharType="separate"/>
      </w:r>
      <w:r>
        <w:rPr>
          <w:rStyle w:val="32"/>
          <w:rFonts w:hint="eastAsia" w:ascii="黑体" w:hAnsi="黑体" w:eastAsia="黑体"/>
          <w:sz w:val="32"/>
          <w:highlight w:val="none"/>
        </w:rPr>
        <w:t>第七章</w:t>
      </w:r>
      <w:r>
        <w:rPr>
          <w:rStyle w:val="32"/>
          <w:rFonts w:hint="eastAsia" w:ascii="黑体" w:hAnsi="黑体" w:eastAsia="黑体"/>
          <w:sz w:val="32"/>
          <w:highlight w:val="none"/>
          <w:lang w:val="en-US" w:eastAsia="zh-CN"/>
        </w:rPr>
        <w:t xml:space="preserve"> </w:t>
      </w:r>
      <w:r>
        <w:rPr>
          <w:rStyle w:val="32"/>
          <w:rFonts w:hint="eastAsia" w:ascii="黑体" w:hAnsi="黑体" w:eastAsia="黑体"/>
          <w:sz w:val="32"/>
          <w:highlight w:val="none"/>
        </w:rPr>
        <w:t>投标文件（格式）</w:t>
      </w:r>
      <w:r>
        <w:rPr>
          <w:sz w:val="32"/>
          <w:highlight w:val="none"/>
        </w:rPr>
        <w:tab/>
      </w:r>
      <w:r>
        <w:rPr>
          <w:rFonts w:hint="eastAsia"/>
          <w:sz w:val="32"/>
          <w:highlight w:val="none"/>
          <w:lang w:val="en-US" w:eastAsia="zh-CN"/>
        </w:rPr>
        <w:t>37</w:t>
      </w:r>
      <w:r>
        <w:rPr>
          <w:sz w:val="32"/>
          <w:highlight w:val="none"/>
        </w:rPr>
        <w:fldChar w:fldCharType="end"/>
      </w:r>
    </w:p>
    <w:p w14:paraId="175F6C72">
      <w:pPr>
        <w:spacing w:line="360" w:lineRule="auto"/>
        <w:rPr>
          <w:rFonts w:ascii="黑体" w:hAnsi="黑体" w:eastAsia="黑体"/>
          <w:sz w:val="28"/>
          <w:highlight w:val="none"/>
        </w:rPr>
      </w:pPr>
      <w:r>
        <w:rPr>
          <w:rFonts w:hint="eastAsia" w:ascii="黑体" w:hAnsi="黑体" w:eastAsia="黑体" w:cs="黑体"/>
          <w:sz w:val="48"/>
          <w:szCs w:val="32"/>
          <w:highlight w:val="none"/>
        </w:rPr>
        <w:fldChar w:fldCharType="end"/>
      </w:r>
      <w:bookmarkStart w:id="0" w:name="_Toc30211"/>
    </w:p>
    <w:p w14:paraId="1B1C3064">
      <w:pPr>
        <w:jc w:val="center"/>
        <w:outlineLvl w:val="0"/>
        <w:rPr>
          <w:rFonts w:ascii="黑体" w:hAnsi="黑体" w:eastAsia="黑体"/>
          <w:sz w:val="28"/>
          <w:highlight w:val="none"/>
        </w:rPr>
        <w:sectPr>
          <w:footerReference r:id="rId7" w:type="first"/>
          <w:headerReference r:id="rId5" w:type="default"/>
          <w:footerReference r:id="rId6" w:type="default"/>
          <w:pgSz w:w="11907" w:h="16840"/>
          <w:pgMar w:top="1134" w:right="1134" w:bottom="1134" w:left="1134" w:header="851" w:footer="850" w:gutter="0"/>
          <w:cols w:space="720" w:num="1"/>
          <w:titlePg/>
          <w:docGrid w:linePitch="462" w:charSpace="0"/>
        </w:sectPr>
      </w:pPr>
    </w:p>
    <w:p w14:paraId="00271B89">
      <w:pPr>
        <w:jc w:val="center"/>
        <w:outlineLvl w:val="0"/>
        <w:rPr>
          <w:rFonts w:ascii="黑体" w:hAnsi="黑体" w:eastAsia="黑体"/>
          <w:sz w:val="28"/>
          <w:highlight w:val="none"/>
        </w:rPr>
      </w:pPr>
      <w:bookmarkStart w:id="1" w:name="_Toc64637564"/>
      <w:r>
        <w:rPr>
          <w:rFonts w:hint="eastAsia" w:ascii="黑体" w:hAnsi="黑体" w:eastAsia="黑体"/>
          <w:sz w:val="28"/>
          <w:highlight w:val="none"/>
        </w:rPr>
        <w:t>第一章 投标邀请函</w:t>
      </w:r>
      <w:bookmarkEnd w:id="0"/>
      <w:bookmarkEnd w:id="1"/>
    </w:p>
    <w:p w14:paraId="3BED76AB">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eastAsia="zh-CN"/>
        </w:rPr>
        <w:t>江苏益诚建设工程咨询有限公司</w:t>
      </w:r>
      <w:r>
        <w:rPr>
          <w:rFonts w:hint="eastAsia" w:ascii="宋体" w:hAnsi="宋体"/>
          <w:bCs/>
          <w:sz w:val="24"/>
          <w:szCs w:val="24"/>
          <w:highlight w:val="none"/>
        </w:rPr>
        <w:t>受宜兴市公用投资管理有限公司委托，就</w:t>
      </w:r>
      <w:r>
        <w:rPr>
          <w:rFonts w:hint="eastAsia" w:ascii="宋体" w:hAnsi="宋体"/>
          <w:bCs/>
          <w:sz w:val="24"/>
          <w:szCs w:val="24"/>
          <w:highlight w:val="none"/>
          <w:lang w:eastAsia="zh-CN"/>
        </w:rPr>
        <w:t>新建小区无负压供水设备（2025年第三批）</w:t>
      </w:r>
      <w:r>
        <w:rPr>
          <w:rFonts w:hint="eastAsia" w:ascii="宋体" w:hAnsi="宋体"/>
          <w:bCs/>
          <w:sz w:val="24"/>
          <w:szCs w:val="24"/>
          <w:highlight w:val="none"/>
        </w:rPr>
        <w:t>组织采购</w:t>
      </w:r>
      <w:r>
        <w:rPr>
          <w:rFonts w:hint="eastAsia" w:ascii="宋体" w:hAnsi="宋体"/>
          <w:sz w:val="24"/>
          <w:szCs w:val="28"/>
          <w:highlight w:val="none"/>
        </w:rPr>
        <w:t>，</w:t>
      </w:r>
      <w:r>
        <w:rPr>
          <w:rFonts w:hint="eastAsia" w:ascii="宋体" w:hAnsi="宋体"/>
          <w:bCs/>
          <w:sz w:val="24"/>
          <w:szCs w:val="24"/>
          <w:highlight w:val="none"/>
        </w:rPr>
        <w:t>欢迎你单位参加投标并提请注意下列附表中的相关事项：</w:t>
      </w:r>
    </w:p>
    <w:tbl>
      <w:tblPr>
        <w:tblStyle w:val="27"/>
        <w:tblW w:w="100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4381"/>
        <w:gridCol w:w="4892"/>
      </w:tblGrid>
      <w:tr w14:paraId="4076E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46" w:type="dxa"/>
          </w:tcPr>
          <w:p w14:paraId="43954175">
            <w:pPr>
              <w:jc w:val="center"/>
              <w:rPr>
                <w:rFonts w:ascii="宋体" w:hAnsi="宋体"/>
                <w:bCs/>
                <w:sz w:val="24"/>
                <w:szCs w:val="24"/>
                <w:highlight w:val="none"/>
              </w:rPr>
            </w:pPr>
            <w:bookmarkStart w:id="2" w:name="_Toc29543"/>
            <w:r>
              <w:rPr>
                <w:rFonts w:hint="eastAsia" w:ascii="宋体" w:hAnsi="宋体"/>
                <w:bCs/>
                <w:sz w:val="24"/>
                <w:szCs w:val="24"/>
                <w:highlight w:val="none"/>
              </w:rPr>
              <w:t>序号</w:t>
            </w:r>
          </w:p>
        </w:tc>
        <w:tc>
          <w:tcPr>
            <w:tcW w:w="9273" w:type="dxa"/>
            <w:gridSpan w:val="2"/>
          </w:tcPr>
          <w:p w14:paraId="63E22677">
            <w:pPr>
              <w:jc w:val="center"/>
              <w:rPr>
                <w:rFonts w:ascii="宋体" w:hAnsi="宋体"/>
                <w:bCs/>
                <w:sz w:val="24"/>
                <w:szCs w:val="24"/>
                <w:highlight w:val="none"/>
              </w:rPr>
            </w:pPr>
            <w:r>
              <w:rPr>
                <w:rFonts w:hint="eastAsia" w:ascii="宋体" w:hAnsi="宋体"/>
                <w:bCs/>
                <w:sz w:val="24"/>
                <w:szCs w:val="24"/>
                <w:highlight w:val="none"/>
              </w:rPr>
              <w:t>内容</w:t>
            </w:r>
          </w:p>
        </w:tc>
      </w:tr>
      <w:tr w14:paraId="0F93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746" w:type="dxa"/>
            <w:vAlign w:val="center"/>
          </w:tcPr>
          <w:p w14:paraId="6AC95F69">
            <w:pPr>
              <w:jc w:val="center"/>
              <w:rPr>
                <w:rFonts w:ascii="宋体" w:hAnsi="宋体"/>
                <w:bCs/>
                <w:sz w:val="24"/>
                <w:szCs w:val="24"/>
                <w:highlight w:val="none"/>
              </w:rPr>
            </w:pPr>
            <w:r>
              <w:rPr>
                <w:rFonts w:ascii="宋体" w:hAnsi="宋体"/>
                <w:bCs/>
                <w:sz w:val="24"/>
                <w:szCs w:val="24"/>
                <w:highlight w:val="none"/>
              </w:rPr>
              <w:t>1</w:t>
            </w:r>
          </w:p>
        </w:tc>
        <w:tc>
          <w:tcPr>
            <w:tcW w:w="9273" w:type="dxa"/>
            <w:gridSpan w:val="2"/>
          </w:tcPr>
          <w:p w14:paraId="0E552443">
            <w:pPr>
              <w:jc w:val="left"/>
              <w:rPr>
                <w:rFonts w:ascii="宋体" w:hAnsi="宋体"/>
                <w:bCs/>
                <w:sz w:val="24"/>
                <w:szCs w:val="24"/>
                <w:highlight w:val="none"/>
              </w:rPr>
            </w:pPr>
            <w:r>
              <w:rPr>
                <w:rFonts w:hint="eastAsia" w:ascii="宋体" w:hAnsi="宋体"/>
                <w:bCs/>
                <w:sz w:val="24"/>
                <w:szCs w:val="24"/>
                <w:highlight w:val="none"/>
              </w:rPr>
              <w:t>采购人：宜兴市公用投资管理有限公司</w:t>
            </w:r>
          </w:p>
          <w:p w14:paraId="54E8AC20">
            <w:pPr>
              <w:jc w:val="left"/>
              <w:rPr>
                <w:rFonts w:hint="eastAsia" w:ascii="宋体" w:hAnsi="宋体" w:eastAsiaTheme="minorEastAsia"/>
                <w:bCs/>
                <w:sz w:val="24"/>
                <w:szCs w:val="24"/>
                <w:highlight w:val="none"/>
                <w:lang w:eastAsia="zh-CN"/>
              </w:rPr>
            </w:pPr>
            <w:r>
              <w:rPr>
                <w:rFonts w:hint="eastAsia" w:ascii="宋体" w:hAnsi="宋体"/>
                <w:bCs/>
                <w:sz w:val="24"/>
                <w:szCs w:val="24"/>
                <w:highlight w:val="none"/>
              </w:rPr>
              <w:t>采购代理机构：</w:t>
            </w:r>
            <w:r>
              <w:rPr>
                <w:rFonts w:hint="eastAsia" w:ascii="宋体" w:hAnsi="宋体"/>
                <w:bCs/>
                <w:sz w:val="24"/>
                <w:szCs w:val="24"/>
                <w:highlight w:val="none"/>
                <w:lang w:eastAsia="zh-CN"/>
              </w:rPr>
              <w:t>江苏益诚建设工程咨询有限公司</w:t>
            </w:r>
          </w:p>
          <w:p w14:paraId="02A63076">
            <w:pPr>
              <w:jc w:val="left"/>
              <w:rPr>
                <w:rFonts w:hint="eastAsia" w:ascii="宋体" w:hAnsi="宋体"/>
                <w:bCs/>
                <w:sz w:val="24"/>
                <w:szCs w:val="24"/>
                <w:highlight w:val="none"/>
                <w:lang w:eastAsia="zh-CN"/>
              </w:rPr>
            </w:pPr>
            <w:r>
              <w:rPr>
                <w:rFonts w:hint="eastAsia" w:ascii="宋体" w:hAnsi="宋体"/>
                <w:bCs/>
                <w:sz w:val="24"/>
                <w:szCs w:val="24"/>
                <w:highlight w:val="none"/>
              </w:rPr>
              <w:t>项目名称：</w:t>
            </w:r>
            <w:r>
              <w:rPr>
                <w:rFonts w:hint="eastAsia" w:ascii="宋体" w:hAnsi="宋体"/>
                <w:bCs/>
                <w:sz w:val="24"/>
                <w:szCs w:val="24"/>
                <w:highlight w:val="none"/>
                <w:lang w:eastAsia="zh-CN"/>
              </w:rPr>
              <w:t>新建小区无负压供水设备（2025年第三批）</w:t>
            </w:r>
          </w:p>
          <w:p w14:paraId="0B775C86">
            <w:pPr>
              <w:jc w:val="left"/>
              <w:rPr>
                <w:rFonts w:hint="eastAsia" w:ascii="宋体" w:hAnsi="宋体"/>
                <w:bCs/>
                <w:sz w:val="24"/>
                <w:szCs w:val="24"/>
                <w:highlight w:val="none"/>
                <w:lang w:eastAsia="zh-CN"/>
              </w:rPr>
            </w:pPr>
            <w:bookmarkStart w:id="3" w:name="OLE_LINK12"/>
            <w:r>
              <w:rPr>
                <w:rFonts w:hint="eastAsia" w:ascii="宋体" w:hAnsi="宋体"/>
                <w:bCs/>
                <w:sz w:val="24"/>
                <w:szCs w:val="24"/>
                <w:highlight w:val="none"/>
                <w:lang w:eastAsia="zh-CN"/>
              </w:rPr>
              <w:t xml:space="preserve">项目编号：YXGQ2025333 </w:t>
            </w:r>
          </w:p>
          <w:bookmarkEnd w:id="3"/>
          <w:p w14:paraId="7267757C">
            <w:pPr>
              <w:jc w:val="left"/>
              <w:rPr>
                <w:rFonts w:ascii="宋体" w:hAnsi="宋体"/>
                <w:bCs/>
                <w:sz w:val="24"/>
                <w:szCs w:val="24"/>
                <w:highlight w:val="none"/>
              </w:rPr>
            </w:pPr>
            <w:r>
              <w:rPr>
                <w:rFonts w:hint="eastAsia" w:ascii="宋体" w:hAnsi="宋体"/>
                <w:bCs/>
                <w:sz w:val="24"/>
                <w:szCs w:val="24"/>
                <w:highlight w:val="none"/>
              </w:rPr>
              <w:t>评标方法：综合评分法</w:t>
            </w:r>
            <w:r>
              <w:rPr>
                <w:rFonts w:hint="eastAsia" w:ascii="宋体" w:hAnsi="宋体" w:eastAsia="宋体" w:cs="Times New Roman"/>
                <w:bCs/>
                <w:sz w:val="24"/>
                <w:szCs w:val="24"/>
                <w:highlight w:val="none"/>
              </w:rPr>
              <w:t>（市平台公开招标（代理））</w:t>
            </w:r>
          </w:p>
          <w:p w14:paraId="4E05BACF">
            <w:pPr>
              <w:jc w:val="left"/>
              <w:rPr>
                <w:rFonts w:ascii="宋体" w:hAnsi="宋体" w:eastAsia="宋体"/>
                <w:bCs/>
                <w:sz w:val="24"/>
                <w:szCs w:val="24"/>
                <w:highlight w:val="none"/>
              </w:rPr>
            </w:pPr>
            <w:bookmarkStart w:id="4" w:name="OLE_LINK3"/>
            <w:r>
              <w:rPr>
                <w:rFonts w:hint="eastAsia" w:ascii="宋体" w:hAnsi="宋体"/>
                <w:bCs/>
                <w:sz w:val="24"/>
                <w:szCs w:val="24"/>
                <w:highlight w:val="none"/>
              </w:rPr>
              <w:t>本项目预算及最高限价为</w:t>
            </w:r>
            <w:bookmarkEnd w:id="4"/>
            <w:r>
              <w:rPr>
                <w:rFonts w:hint="eastAsia" w:ascii="宋体" w:hAnsi="宋体"/>
                <w:bCs/>
                <w:color w:val="auto"/>
                <w:sz w:val="24"/>
                <w:szCs w:val="24"/>
                <w:highlight w:val="none"/>
              </w:rPr>
              <w:t>：</w:t>
            </w:r>
            <w:r>
              <w:rPr>
                <w:rFonts w:hint="eastAsia" w:ascii="宋体" w:hAnsi="宋体"/>
                <w:bCs/>
                <w:color w:val="0000FF"/>
                <w:sz w:val="24"/>
                <w:szCs w:val="24"/>
                <w:highlight w:val="none"/>
                <w:u w:val="single"/>
                <w:lang w:val="en-US" w:eastAsia="zh-CN"/>
              </w:rPr>
              <w:t>75.5</w:t>
            </w:r>
            <w:r>
              <w:rPr>
                <w:rFonts w:hint="eastAsia" w:ascii="宋体" w:hAnsi="宋体" w:eastAsia="宋体" w:cs="Times New Roman"/>
                <w:bCs/>
                <w:color w:val="0000FF"/>
                <w:sz w:val="24"/>
                <w:szCs w:val="24"/>
                <w:highlight w:val="none"/>
              </w:rPr>
              <w:t>万元</w:t>
            </w:r>
            <w:r>
              <w:rPr>
                <w:rFonts w:hint="eastAsia" w:ascii="宋体" w:hAnsi="宋体" w:eastAsia="宋体" w:cs="Times New Roman"/>
                <w:bCs/>
                <w:sz w:val="24"/>
                <w:szCs w:val="24"/>
                <w:highlight w:val="none"/>
              </w:rPr>
              <w:t>（不超过各标段设备单套最高限价，单套最高限价详见第四章项目技术要求和有关说明）</w:t>
            </w:r>
          </w:p>
        </w:tc>
      </w:tr>
      <w:tr w14:paraId="7180F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746" w:type="dxa"/>
            <w:vMerge w:val="restart"/>
            <w:vAlign w:val="center"/>
          </w:tcPr>
          <w:p w14:paraId="668CBABD">
            <w:pPr>
              <w:jc w:val="center"/>
              <w:rPr>
                <w:rFonts w:ascii="宋体" w:hAnsi="宋体"/>
                <w:bCs/>
                <w:sz w:val="24"/>
                <w:szCs w:val="24"/>
                <w:highlight w:val="none"/>
              </w:rPr>
            </w:pPr>
            <w:r>
              <w:rPr>
                <w:rFonts w:ascii="宋体" w:hAnsi="宋体"/>
                <w:bCs/>
                <w:sz w:val="24"/>
                <w:szCs w:val="24"/>
                <w:highlight w:val="none"/>
              </w:rPr>
              <w:t>2</w:t>
            </w:r>
          </w:p>
        </w:tc>
        <w:tc>
          <w:tcPr>
            <w:tcW w:w="9273" w:type="dxa"/>
            <w:gridSpan w:val="2"/>
          </w:tcPr>
          <w:p w14:paraId="1B42F202">
            <w:pPr>
              <w:pStyle w:val="55"/>
              <w:spacing w:line="276" w:lineRule="auto"/>
              <w:rPr>
                <w:highlight w:val="none"/>
              </w:rPr>
            </w:pPr>
            <w:r>
              <w:rPr>
                <w:rFonts w:hint="eastAsia"/>
                <w:highlight w:val="none"/>
              </w:rPr>
              <w:t>2.1投标人参加本次采购活动</w:t>
            </w:r>
            <w:r>
              <w:rPr>
                <w:rFonts w:hint="eastAsia"/>
                <w:highlight w:val="none"/>
                <w:lang w:val="zh-CN"/>
              </w:rPr>
              <w:t>应具备下列资格条件：</w:t>
            </w:r>
          </w:p>
          <w:p w14:paraId="751D8011">
            <w:pPr>
              <w:pStyle w:val="55"/>
              <w:spacing w:line="276" w:lineRule="auto"/>
              <w:rPr>
                <w:highlight w:val="none"/>
              </w:rPr>
            </w:pPr>
            <w:r>
              <w:rPr>
                <w:rFonts w:hint="eastAsia"/>
                <w:highlight w:val="none"/>
              </w:rPr>
              <w:t>①具有独立承担民事责任的能力的</w:t>
            </w:r>
            <w:r>
              <w:rPr>
                <w:rFonts w:hint="eastAsia"/>
                <w:color w:val="0000FF"/>
                <w:highlight w:val="none"/>
              </w:rPr>
              <w:t>专业生产厂家</w:t>
            </w:r>
            <w:r>
              <w:rPr>
                <w:rFonts w:hint="eastAsia"/>
                <w:highlight w:val="none"/>
              </w:rPr>
              <w:t>；</w:t>
            </w:r>
          </w:p>
          <w:p w14:paraId="068ED635">
            <w:pPr>
              <w:pStyle w:val="55"/>
              <w:spacing w:line="276" w:lineRule="auto"/>
              <w:rPr>
                <w:rFonts w:hint="eastAsia" w:ascii="宋体" w:hAnsi="Times New Roman" w:eastAsia="宋体" w:cs="Times New Roman"/>
                <w:highlight w:val="none"/>
              </w:rPr>
            </w:pPr>
            <w:bookmarkStart w:id="5" w:name="OLE_LINK9"/>
            <w:r>
              <w:rPr>
                <w:rFonts w:hint="eastAsia" w:ascii="宋体" w:hAnsi="Times New Roman" w:eastAsia="宋体" w:cs="Times New Roman"/>
                <w:highlight w:val="none"/>
                <w:lang w:val="en-US" w:eastAsia="zh-CN"/>
              </w:rPr>
              <w:t>②</w:t>
            </w:r>
            <w:r>
              <w:rPr>
                <w:rFonts w:hint="eastAsia" w:ascii="宋体" w:hAnsi="Times New Roman" w:eastAsia="宋体" w:cs="Times New Roman"/>
                <w:highlight w:val="none"/>
                <w:lang w:val="zh-CN"/>
              </w:rPr>
              <w:t>具有良好的商业信誉和健全的财务会计制度：</w:t>
            </w:r>
          </w:p>
          <w:p w14:paraId="4C5DAA01">
            <w:pPr>
              <w:pStyle w:val="55"/>
              <w:spacing w:line="276" w:lineRule="auto"/>
              <w:rPr>
                <w:rFonts w:hint="eastAsia" w:ascii="宋体" w:hAnsi="Times New Roman" w:eastAsia="宋体" w:cs="Times New Roman"/>
                <w:highlight w:val="none"/>
              </w:rPr>
            </w:pPr>
            <w:r>
              <w:rPr>
                <w:rFonts w:hint="eastAsia" w:ascii="宋体" w:hAnsi="Times New Roman" w:eastAsia="宋体" w:cs="Times New Roman"/>
                <w:highlight w:val="none"/>
                <w:lang w:val="en-US" w:eastAsia="zh-CN"/>
              </w:rPr>
              <w:t>③</w:t>
            </w:r>
            <w:r>
              <w:rPr>
                <w:rFonts w:hint="eastAsia" w:ascii="宋体" w:hAnsi="Times New Roman" w:eastAsia="宋体" w:cs="Times New Roman"/>
                <w:highlight w:val="none"/>
              </w:rPr>
              <w:t>有依法缴纳税收和社会保障资金的良好记录；</w:t>
            </w:r>
          </w:p>
          <w:p w14:paraId="4CA8C3C9">
            <w:pPr>
              <w:pStyle w:val="55"/>
              <w:spacing w:line="276" w:lineRule="auto"/>
              <w:rPr>
                <w:rFonts w:hint="eastAsia" w:ascii="宋体" w:hAnsi="Times New Roman" w:eastAsia="宋体" w:cs="Times New Roman"/>
                <w:highlight w:val="none"/>
              </w:rPr>
            </w:pPr>
            <w:r>
              <w:rPr>
                <w:rFonts w:hint="eastAsia" w:ascii="宋体" w:hAnsi="Times New Roman" w:eastAsia="宋体" w:cs="Times New Roman"/>
                <w:highlight w:val="none"/>
                <w:lang w:val="en-US" w:eastAsia="zh-CN"/>
              </w:rPr>
              <w:t>④</w:t>
            </w:r>
            <w:r>
              <w:rPr>
                <w:rFonts w:hint="eastAsia" w:ascii="宋体" w:hAnsi="Times New Roman" w:eastAsia="宋体" w:cs="Times New Roman"/>
                <w:highlight w:val="none"/>
              </w:rPr>
              <w:t>具有履行合同所必需的设备和专业技术能力；</w:t>
            </w:r>
          </w:p>
          <w:p w14:paraId="5AC3B2C4">
            <w:pPr>
              <w:pStyle w:val="55"/>
              <w:spacing w:line="276" w:lineRule="auto"/>
              <w:rPr>
                <w:rFonts w:hint="eastAsia" w:ascii="宋体" w:hAnsi="Times New Roman" w:eastAsia="宋体" w:cs="Times New Roman"/>
                <w:highlight w:val="none"/>
              </w:rPr>
            </w:pPr>
            <w:r>
              <w:rPr>
                <w:rFonts w:hint="eastAsia" w:ascii="宋体" w:hAnsi="Times New Roman" w:eastAsia="宋体" w:cs="Times New Roman"/>
                <w:highlight w:val="none"/>
                <w:lang w:val="en-US" w:eastAsia="zh-CN"/>
              </w:rPr>
              <w:t>⑤</w:t>
            </w:r>
            <w:r>
              <w:rPr>
                <w:rFonts w:hint="eastAsia" w:ascii="宋体" w:hAnsi="Times New Roman" w:eastAsia="宋体" w:cs="Times New Roman"/>
                <w:highlight w:val="none"/>
              </w:rPr>
              <w:t>不接受联合体，不接受中标后分包；</w:t>
            </w:r>
          </w:p>
          <w:p w14:paraId="757B5AE2">
            <w:pPr>
              <w:pStyle w:val="55"/>
              <w:spacing w:line="276" w:lineRule="auto"/>
              <w:rPr>
                <w:rFonts w:hint="eastAsia" w:ascii="宋体" w:hAnsi="Times New Roman" w:eastAsia="宋体" w:cs="Times New Roman"/>
                <w:highlight w:val="none"/>
              </w:rPr>
            </w:pPr>
            <w:r>
              <w:rPr>
                <w:rFonts w:hint="eastAsia" w:ascii="宋体" w:hAnsi="Times New Roman" w:eastAsia="宋体" w:cs="Times New Roman"/>
                <w:highlight w:val="none"/>
                <w:lang w:val="en-US" w:eastAsia="zh-CN"/>
              </w:rPr>
              <w:t>⑥</w:t>
            </w:r>
            <w:r>
              <w:rPr>
                <w:rFonts w:hint="eastAsia" w:ascii="宋体" w:hAnsi="Times New Roman" w:eastAsia="宋体" w:cs="Times New Roman"/>
                <w:highlight w:val="none"/>
              </w:rPr>
              <w:t>良好的信用记录：投标截止时间之前，未被“信用中国”网站列入</w:t>
            </w:r>
            <w:r>
              <w:rPr>
                <w:rFonts w:hint="eastAsia" w:ascii="宋体" w:hAnsi="Times New Roman" w:eastAsia="宋体" w:cs="Times New Roman"/>
                <w:highlight w:val="none"/>
                <w:lang w:eastAsia="zh-CN"/>
              </w:rPr>
              <w:t>失信被执行人</w:t>
            </w:r>
            <w:r>
              <w:rPr>
                <w:rFonts w:hint="eastAsia" w:ascii="宋体" w:hAnsi="Times New Roman" w:eastAsia="宋体" w:cs="Times New Roman"/>
                <w:highlight w:val="none"/>
              </w:rPr>
              <w:t>、</w:t>
            </w:r>
            <w:r>
              <w:rPr>
                <w:rFonts w:hint="eastAsia" w:ascii="宋体" w:hAnsi="Times New Roman" w:eastAsia="宋体" w:cs="Times New Roman"/>
                <w:highlight w:val="none"/>
                <w:lang w:val="zh-CN"/>
              </w:rPr>
              <w:t>税收违法黑名单、政府采购严重违法失信行为记录名单</w:t>
            </w:r>
            <w:r>
              <w:rPr>
                <w:rFonts w:hint="eastAsia" w:ascii="宋体" w:hAnsi="Times New Roman" w:eastAsia="宋体" w:cs="Times New Roman"/>
                <w:highlight w:val="none"/>
              </w:rPr>
              <w:t>，未被“中国政府采购网”网站列入政府采购严重违法失信行为记录名单；</w:t>
            </w:r>
          </w:p>
          <w:p w14:paraId="4661F103">
            <w:pPr>
              <w:rPr>
                <w:rFonts w:hint="eastAsia" w:eastAsia="宋体"/>
                <w:lang w:eastAsia="zh-CN"/>
              </w:rPr>
            </w:pPr>
            <w:r>
              <w:rPr>
                <w:rFonts w:hint="eastAsia" w:ascii="宋体" w:hAnsi="宋体" w:eastAsia="宋体" w:cs="宋体"/>
                <w:color w:val="0000FF"/>
                <w:sz w:val="24"/>
                <w:szCs w:val="24"/>
                <w:highlight w:val="none"/>
                <w:lang w:val="en-US" w:eastAsia="zh-CN"/>
              </w:rPr>
              <w:t>⑦</w:t>
            </w:r>
            <w:r>
              <w:rPr>
                <w:rFonts w:hint="eastAsia" w:ascii="宋体" w:hAnsi="宋体" w:eastAsia="宋体" w:cs="宋体"/>
                <w:color w:val="0000FF"/>
                <w:sz w:val="24"/>
                <w:szCs w:val="24"/>
                <w:highlight w:val="none"/>
              </w:rPr>
              <w:t>投标人具备机电安装工程施工总承包企业三级及以上资质的或建筑机电安装工程专业承包企业三级及以上资质</w:t>
            </w:r>
            <w:r>
              <w:rPr>
                <w:rFonts w:hint="eastAsia" w:ascii="宋体" w:hAnsi="宋体" w:eastAsia="宋体" w:cs="宋体"/>
                <w:color w:val="0000FF"/>
                <w:sz w:val="24"/>
                <w:szCs w:val="24"/>
                <w:highlight w:val="none"/>
                <w:lang w:eastAsia="zh-CN"/>
              </w:rPr>
              <w:t>；</w:t>
            </w:r>
            <w:r>
              <w:rPr>
                <w:rFonts w:hint="eastAsia" w:ascii="宋体" w:hAnsi="宋体" w:eastAsia="宋体" w:cs="宋体"/>
                <w:b/>
                <w:bCs/>
                <w:sz w:val="24"/>
                <w:szCs w:val="24"/>
                <w:highlight w:val="none"/>
              </w:rPr>
              <w:t>（投标时必须提交相应原件或公证件）</w:t>
            </w:r>
          </w:p>
          <w:p w14:paraId="29FDF749">
            <w:pPr>
              <w:pStyle w:val="55"/>
              <w:spacing w:line="276" w:lineRule="auto"/>
              <w:rPr>
                <w:highlight w:val="none"/>
              </w:rPr>
            </w:pPr>
            <w:r>
              <w:rPr>
                <w:rFonts w:hint="eastAsia"/>
                <w:highlight w:val="none"/>
                <w:lang w:val="en-US" w:eastAsia="zh-CN"/>
              </w:rPr>
              <w:t>⑧</w:t>
            </w:r>
            <w:r>
              <w:rPr>
                <w:rFonts w:hint="eastAsia"/>
                <w:highlight w:val="none"/>
              </w:rPr>
              <w:t>所投的无负压供水设备应具有省级及以上卫生部门出具的“卫生许可批件”或“卫生检测报告”，具有无空气污染的预压式无负压供水设备、全封闭无污染无负压给水设备小流量保压技术；</w:t>
            </w:r>
            <w:r>
              <w:rPr>
                <w:rFonts w:hint="eastAsia" w:ascii="宋体" w:hAnsi="宋体" w:eastAsia="宋体" w:cs="宋体"/>
                <w:b/>
                <w:bCs/>
                <w:sz w:val="24"/>
                <w:szCs w:val="24"/>
                <w:highlight w:val="none"/>
              </w:rPr>
              <w:t>（投标时必须提交相应原件或公证件）</w:t>
            </w:r>
          </w:p>
          <w:p w14:paraId="12153F72">
            <w:pPr>
              <w:pStyle w:val="55"/>
              <w:spacing w:line="276" w:lineRule="auto"/>
              <w:rPr>
                <w:highlight w:val="none"/>
              </w:rPr>
            </w:pPr>
            <w:r>
              <w:rPr>
                <w:rFonts w:hint="eastAsia"/>
                <w:highlight w:val="none"/>
                <w:lang w:val="en-US" w:eastAsia="zh-CN"/>
              </w:rPr>
              <w:t>⑨</w:t>
            </w:r>
            <w:r>
              <w:rPr>
                <w:rFonts w:hint="eastAsia"/>
                <w:highlight w:val="none"/>
              </w:rPr>
              <w:t>具有中华人民共和国特种设备制造许可证（压力容器类）且在有效期内；若压力容器为外协提供，则提供外协厂家相应的制造许可证且在有效期内。</w:t>
            </w:r>
            <w:r>
              <w:rPr>
                <w:rFonts w:hint="eastAsia" w:ascii="宋体" w:hAnsi="宋体" w:eastAsia="宋体" w:cs="宋体"/>
                <w:b/>
                <w:bCs/>
                <w:sz w:val="24"/>
                <w:szCs w:val="24"/>
                <w:highlight w:val="none"/>
              </w:rPr>
              <w:t>（投标文件中须提供证书复印件，原件或公证件投标时一并递交）</w:t>
            </w:r>
            <w:bookmarkEnd w:id="5"/>
          </w:p>
        </w:tc>
      </w:tr>
      <w:tr w14:paraId="66DD9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46" w:type="dxa"/>
            <w:vMerge w:val="continue"/>
            <w:vAlign w:val="center"/>
          </w:tcPr>
          <w:p w14:paraId="359DF046">
            <w:pPr>
              <w:spacing w:line="240" w:lineRule="atLeast"/>
              <w:rPr>
                <w:highlight w:val="none"/>
              </w:rPr>
            </w:pPr>
          </w:p>
        </w:tc>
        <w:tc>
          <w:tcPr>
            <w:tcW w:w="9273" w:type="dxa"/>
            <w:gridSpan w:val="2"/>
          </w:tcPr>
          <w:p w14:paraId="78E32ED4">
            <w:pPr>
              <w:pStyle w:val="55"/>
              <w:spacing w:line="276" w:lineRule="auto"/>
              <w:rPr>
                <w:highlight w:val="none"/>
                <w:lang w:val="zh-CN"/>
              </w:rPr>
            </w:pPr>
            <w:r>
              <w:rPr>
                <w:rFonts w:hint="eastAsia"/>
                <w:highlight w:val="none"/>
                <w:lang w:val="zh-CN"/>
              </w:rPr>
              <w:t>2.</w:t>
            </w:r>
            <w:r>
              <w:rPr>
                <w:rFonts w:hint="eastAsia"/>
                <w:highlight w:val="none"/>
              </w:rPr>
              <w:t>2</w:t>
            </w:r>
            <w:r>
              <w:rPr>
                <w:rFonts w:hint="eastAsia"/>
                <w:highlight w:val="none"/>
                <w:lang w:val="zh-CN"/>
              </w:rPr>
              <w:t>拒绝下述供应商参加本次采购活动：</w:t>
            </w:r>
          </w:p>
          <w:p w14:paraId="1DF7A43C">
            <w:pPr>
              <w:autoSpaceDE w:val="0"/>
              <w:autoSpaceDN w:val="0"/>
              <w:adjustRightInd w:val="0"/>
              <w:rPr>
                <w:rFonts w:ascii="宋体" w:hAnsi="宋体"/>
                <w:bCs/>
                <w:sz w:val="24"/>
                <w:szCs w:val="21"/>
                <w:highlight w:val="none"/>
              </w:rPr>
            </w:pPr>
            <w:r>
              <w:rPr>
                <w:rFonts w:hint="eastAsia" w:ascii="宋体" w:hAnsi="宋体" w:cs="宋体"/>
                <w:bCs/>
                <w:sz w:val="24"/>
                <w:szCs w:val="21"/>
                <w:highlight w:val="none"/>
              </w:rPr>
              <w:t>①</w:t>
            </w:r>
            <w:r>
              <w:rPr>
                <w:rFonts w:hint="eastAsia" w:ascii="宋体" w:hAnsi="宋体"/>
                <w:bCs/>
                <w:sz w:val="24"/>
                <w:szCs w:val="21"/>
                <w:highlight w:val="none"/>
              </w:rPr>
              <w:t>供应商</w:t>
            </w:r>
            <w:r>
              <w:rPr>
                <w:rFonts w:ascii="宋体" w:hAnsi="宋体"/>
                <w:bCs/>
                <w:sz w:val="24"/>
                <w:szCs w:val="21"/>
                <w:highlight w:val="none"/>
              </w:rPr>
              <w:t>单位负责人为同一人或者存在直接控股、管理关系的不同供应商，不得参加同一合同项下的采购活动</w:t>
            </w:r>
            <w:r>
              <w:rPr>
                <w:rFonts w:hint="eastAsia" w:ascii="宋体" w:hAnsi="宋体"/>
                <w:bCs/>
                <w:sz w:val="24"/>
                <w:szCs w:val="21"/>
                <w:highlight w:val="none"/>
              </w:rPr>
              <w:t>；</w:t>
            </w:r>
          </w:p>
          <w:p w14:paraId="7CDFF0BA">
            <w:pPr>
              <w:pStyle w:val="55"/>
              <w:spacing w:line="276" w:lineRule="auto"/>
              <w:rPr>
                <w:highlight w:val="none"/>
                <w:lang w:val="zh-CN"/>
              </w:rPr>
            </w:pPr>
            <w:r>
              <w:rPr>
                <w:rFonts w:hint="eastAsia" w:hAnsi="宋体" w:cs="宋体"/>
                <w:bCs/>
                <w:szCs w:val="21"/>
                <w:highlight w:val="none"/>
              </w:rPr>
              <w:t>②</w:t>
            </w:r>
            <w:r>
              <w:rPr>
                <w:rFonts w:hint="eastAsia" w:hAnsi="宋体"/>
                <w:bCs/>
                <w:szCs w:val="21"/>
                <w:highlight w:val="none"/>
              </w:rPr>
              <w:t>凡</w:t>
            </w:r>
            <w:r>
              <w:rPr>
                <w:rFonts w:hAnsi="宋体"/>
                <w:bCs/>
                <w:szCs w:val="21"/>
                <w:highlight w:val="none"/>
              </w:rPr>
              <w:t>为采购项目提供整体设计、规范编制或者项目管理、监理、检测等服务的供应商，不得再参加</w:t>
            </w:r>
            <w:r>
              <w:rPr>
                <w:rFonts w:hint="eastAsia" w:hAnsi="宋体"/>
                <w:bCs/>
                <w:szCs w:val="21"/>
                <w:highlight w:val="none"/>
              </w:rPr>
              <w:t>本</w:t>
            </w:r>
            <w:r>
              <w:rPr>
                <w:rFonts w:hAnsi="宋体"/>
                <w:bCs/>
                <w:szCs w:val="21"/>
                <w:highlight w:val="none"/>
              </w:rPr>
              <w:t>项目的采购活动。</w:t>
            </w:r>
          </w:p>
        </w:tc>
      </w:tr>
      <w:tr w14:paraId="0B08B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746" w:type="dxa"/>
            <w:vMerge w:val="continue"/>
            <w:vAlign w:val="center"/>
          </w:tcPr>
          <w:p w14:paraId="0AC03B0C">
            <w:pPr>
              <w:spacing w:line="240" w:lineRule="atLeast"/>
              <w:rPr>
                <w:highlight w:val="none"/>
              </w:rPr>
            </w:pPr>
          </w:p>
        </w:tc>
        <w:tc>
          <w:tcPr>
            <w:tcW w:w="9273" w:type="dxa"/>
            <w:gridSpan w:val="2"/>
          </w:tcPr>
          <w:p w14:paraId="14E0554A">
            <w:pPr>
              <w:widowControl/>
              <w:ind w:left="-275" w:leftChars="-131" w:firstLine="241" w:firstLineChars="115"/>
              <w:jc w:val="left"/>
              <w:rPr>
                <w:rFonts w:ascii="宋体" w:hAnsi="宋体" w:cs="宋体"/>
                <w:color w:val="auto"/>
                <w:kern w:val="0"/>
                <w:sz w:val="24"/>
                <w:szCs w:val="24"/>
                <w:highlight w:val="none"/>
              </w:rPr>
            </w:pPr>
            <w:r>
              <w:rPr>
                <w:rFonts w:hint="eastAsia"/>
                <w:color w:val="auto"/>
                <w:highlight w:val="none"/>
                <w:lang w:val="zh-CN"/>
              </w:rPr>
              <w:t>2.3</w:t>
            </w:r>
            <w:r>
              <w:rPr>
                <w:rFonts w:hint="eastAsia" w:ascii="宋体"/>
                <w:color w:val="auto"/>
                <w:kern w:val="0"/>
                <w:sz w:val="24"/>
                <w:highlight w:val="none"/>
                <w:u w:color="000000"/>
              </w:rPr>
              <w:t>主要部件及材质品牌要求参照或相当于下列品牌</w:t>
            </w:r>
            <w:r>
              <w:rPr>
                <w:rFonts w:ascii="宋体" w:hAnsi="宋体" w:cs="宋体"/>
                <w:color w:val="auto"/>
                <w:kern w:val="0"/>
                <w:sz w:val="24"/>
                <w:szCs w:val="24"/>
                <w:highlight w:val="none"/>
              </w:rPr>
              <w:t>：</w:t>
            </w:r>
          </w:p>
          <w:p w14:paraId="38631D3E">
            <w:pPr>
              <w:widowControl/>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（1）控制柜其主开关、断路器、互感器、接触器、继电器等电气元器件：ABB、西门子、施耐德</w:t>
            </w:r>
          </w:p>
          <w:p w14:paraId="6EF94758">
            <w:pPr>
              <w:widowControl/>
              <w:jc w:val="left"/>
              <w:rPr>
                <w:rFonts w:ascii="宋体" w:hAnsi="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rPr>
              <w:t>压力变送器：西门子、ABB、丹佛斯、E+H</w:t>
            </w:r>
          </w:p>
          <w:p w14:paraId="764BB45D">
            <w:pPr>
              <w:widowControl/>
              <w:jc w:val="left"/>
              <w:rPr>
                <w:rFonts w:ascii="宋体" w:hAnsi="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rPr>
              <w:t>压力开关：西门子、施耐德、瑞士huba、丹佛斯</w:t>
            </w:r>
          </w:p>
          <w:p w14:paraId="6EBE2FE8">
            <w:pPr>
              <w:widowControl/>
              <w:jc w:val="left"/>
              <w:rPr>
                <w:rFonts w:ascii="宋体" w:hAnsi="宋体" w:cs="宋体"/>
                <w:color w:val="auto"/>
                <w:kern w:val="0"/>
                <w:sz w:val="24"/>
                <w:szCs w:val="24"/>
                <w:highlight w:val="none"/>
              </w:rPr>
            </w:pPr>
            <w:r>
              <w:rPr>
                <w:rFonts w:hint="eastAsia" w:cs="宋体" w:asciiTheme="minorEastAsia" w:hAnsiTheme="minorEastAsia"/>
                <w:color w:val="auto"/>
                <w:kern w:val="0"/>
                <w:sz w:val="24"/>
                <w:szCs w:val="24"/>
                <w:highlight w:val="none"/>
              </w:rPr>
              <w:t>（4）</w:t>
            </w:r>
            <w:r>
              <w:rPr>
                <w:rFonts w:hint="eastAsia" w:ascii="宋体" w:hAnsi="宋体" w:cs="宋体"/>
                <w:color w:val="auto"/>
                <w:kern w:val="0"/>
                <w:sz w:val="24"/>
                <w:szCs w:val="24"/>
                <w:highlight w:val="none"/>
              </w:rPr>
              <w:t>不间断电源（UPS）:山特、艾默生Emerson、APC、华为</w:t>
            </w:r>
          </w:p>
          <w:p w14:paraId="6988E055">
            <w:pPr>
              <w:widowControl/>
              <w:jc w:val="left"/>
              <w:rPr>
                <w:rFonts w:ascii="宋体" w:hAnsi="宋体" w:cs="宋体"/>
                <w:color w:val="auto"/>
                <w:kern w:val="0"/>
                <w:sz w:val="22"/>
                <w:szCs w:val="24"/>
                <w:highlight w:val="none"/>
              </w:rPr>
            </w:pPr>
            <w:r>
              <w:rPr>
                <w:rFonts w:hint="eastAsia" w:cs="宋体" w:asciiTheme="minorEastAsia" w:hAnsiTheme="minorEastAsia"/>
                <w:color w:val="auto"/>
                <w:kern w:val="0"/>
                <w:sz w:val="24"/>
                <w:szCs w:val="24"/>
                <w:highlight w:val="none"/>
              </w:rPr>
              <w:t>（5）</w:t>
            </w:r>
            <w:r>
              <w:rPr>
                <w:rFonts w:hint="eastAsia" w:ascii="宋体" w:hAnsi="宋体" w:cs="宋体"/>
                <w:color w:val="auto"/>
                <w:kern w:val="0"/>
                <w:sz w:val="24"/>
                <w:szCs w:val="24"/>
                <w:highlight w:val="none"/>
              </w:rPr>
              <w:t>水泵：丹麦格兰富、美国赛莱默（除K系列）、德国凯士比的不锈钢立式管道离心泵（含配套电机）</w:t>
            </w:r>
          </w:p>
          <w:p w14:paraId="564AB347">
            <w:pPr>
              <w:widowControl/>
              <w:jc w:val="left"/>
              <w:rPr>
                <w:rFonts w:ascii="宋体" w:hAnsi="宋体" w:cs="宋体"/>
                <w:color w:val="auto"/>
                <w:kern w:val="0"/>
                <w:sz w:val="24"/>
                <w:szCs w:val="24"/>
                <w:highlight w:val="none"/>
              </w:rPr>
            </w:pPr>
            <w:r>
              <w:rPr>
                <w:rFonts w:hint="eastAsia" w:cs="宋体" w:asciiTheme="minorEastAsia" w:hAnsiTheme="minorEastAsia"/>
                <w:color w:val="auto"/>
                <w:kern w:val="0"/>
                <w:sz w:val="24"/>
                <w:szCs w:val="24"/>
                <w:highlight w:val="none"/>
              </w:rPr>
              <w:t>（6）</w:t>
            </w:r>
            <w:r>
              <w:rPr>
                <w:rFonts w:hint="eastAsia" w:ascii="宋体" w:hAnsi="宋体" w:cs="宋体"/>
                <w:color w:val="auto"/>
                <w:kern w:val="0"/>
                <w:sz w:val="24"/>
                <w:szCs w:val="24"/>
                <w:highlight w:val="none"/>
              </w:rPr>
              <w:t xml:space="preserve">变频器：施耐德、西门子、ABB </w:t>
            </w:r>
          </w:p>
          <w:p w14:paraId="5A453AB8">
            <w:pPr>
              <w:widowControl/>
              <w:jc w:val="left"/>
              <w:rPr>
                <w:rFonts w:ascii="宋体" w:hAnsi="宋体" w:cs="宋体"/>
                <w:color w:val="auto"/>
                <w:kern w:val="0"/>
                <w:sz w:val="24"/>
                <w:szCs w:val="24"/>
                <w:highlight w:val="none"/>
              </w:rPr>
            </w:pPr>
            <w:r>
              <w:rPr>
                <w:rFonts w:hint="eastAsia" w:cs="宋体" w:asciiTheme="minorEastAsia" w:hAnsiTheme="minorEastAsia"/>
                <w:color w:val="auto"/>
                <w:kern w:val="0"/>
                <w:sz w:val="24"/>
                <w:szCs w:val="24"/>
                <w:highlight w:val="none"/>
              </w:rPr>
              <w:t>（7）</w:t>
            </w:r>
            <w:r>
              <w:rPr>
                <w:rFonts w:hint="eastAsia" w:ascii="宋体" w:hAnsi="宋体" w:cs="宋体"/>
                <w:color w:val="auto"/>
                <w:kern w:val="0"/>
                <w:sz w:val="24"/>
                <w:szCs w:val="24"/>
                <w:highlight w:val="none"/>
              </w:rPr>
              <w:t>阀门类（包括倒流防止器、Y型过滤器等）：AVK、VAG、上海冠龙</w:t>
            </w:r>
          </w:p>
          <w:p w14:paraId="67ADDCAE">
            <w:pPr>
              <w:widowControl/>
              <w:jc w:val="left"/>
              <w:rPr>
                <w:rFonts w:ascii="宋体" w:hAnsi="宋体" w:cs="宋体"/>
                <w:color w:val="auto"/>
                <w:kern w:val="0"/>
                <w:sz w:val="24"/>
                <w:szCs w:val="24"/>
                <w:highlight w:val="none"/>
              </w:rPr>
            </w:pPr>
            <w:r>
              <w:rPr>
                <w:rFonts w:hint="eastAsia" w:cs="宋体" w:asciiTheme="minorEastAsia" w:hAnsiTheme="minorEastAsia"/>
                <w:color w:val="auto"/>
                <w:kern w:val="0"/>
                <w:sz w:val="24"/>
                <w:szCs w:val="24"/>
                <w:highlight w:val="none"/>
              </w:rPr>
              <w:t>（8）</w:t>
            </w:r>
            <w:r>
              <w:rPr>
                <w:rFonts w:hint="eastAsia" w:ascii="宋体" w:hAnsi="宋体" w:cs="宋体"/>
                <w:color w:val="auto"/>
                <w:kern w:val="0"/>
                <w:sz w:val="24"/>
                <w:szCs w:val="24"/>
                <w:highlight w:val="none"/>
              </w:rPr>
              <w:t>电磁流量计：西门子、E+H、科隆</w:t>
            </w:r>
          </w:p>
          <w:p w14:paraId="55EDC28D">
            <w:pPr>
              <w:pStyle w:val="55"/>
              <w:spacing w:line="276" w:lineRule="auto"/>
              <w:rPr>
                <w:rFonts w:hAnsi="宋体"/>
                <w:bCs/>
                <w:color w:val="auto"/>
                <w:szCs w:val="21"/>
                <w:highlight w:val="none"/>
              </w:rPr>
            </w:pPr>
            <w:r>
              <w:rPr>
                <w:rFonts w:hint="eastAsia" w:hAnsi="宋体" w:cs="宋体"/>
                <w:color w:val="auto"/>
                <w:szCs w:val="24"/>
                <w:highlight w:val="none"/>
              </w:rPr>
              <w:t>（9）电动执行机构：</w:t>
            </w:r>
            <w:r>
              <w:rPr>
                <w:rFonts w:hint="eastAsia" w:hAnsi="宋体"/>
                <w:bCs/>
                <w:color w:val="auto"/>
                <w:szCs w:val="21"/>
                <w:highlight w:val="none"/>
              </w:rPr>
              <w:t>常州电站辅机（SND智能开关型）、天津天二通（IMC智能开关型）、Auma、Rotork、Centork</w:t>
            </w:r>
          </w:p>
          <w:p w14:paraId="6BA9F39C">
            <w:pPr>
              <w:spacing w:after="60"/>
              <w:rPr>
                <w:rFonts w:ascii="宋体" w:hAnsi="宋体" w:cs="楷体"/>
                <w:color w:val="auto"/>
                <w:sz w:val="24"/>
                <w:szCs w:val="24"/>
                <w:highlight w:val="none"/>
              </w:rPr>
            </w:pPr>
            <w:r>
              <w:rPr>
                <w:rFonts w:hint="eastAsia" w:ascii="宋体" w:hAnsi="宋体" w:eastAsia="宋体" w:cs="楷体"/>
                <w:color w:val="auto"/>
                <w:sz w:val="24"/>
                <w:szCs w:val="24"/>
                <w:highlight w:val="none"/>
              </w:rPr>
              <w:t>（10）</w:t>
            </w:r>
            <w:r>
              <w:rPr>
                <w:rFonts w:hint="eastAsia" w:ascii="宋体" w:hAnsi="宋体" w:cs="楷体"/>
                <w:color w:val="auto"/>
                <w:sz w:val="24"/>
                <w:szCs w:val="24"/>
                <w:highlight w:val="none"/>
              </w:rPr>
              <w:t>PLC：西门子S7-200及以上、施耐德M340系列、罗克韦尔系列</w:t>
            </w:r>
          </w:p>
          <w:p w14:paraId="79298105">
            <w:pPr>
              <w:spacing w:after="60"/>
              <w:rPr>
                <w:rFonts w:ascii="宋体"/>
                <w:color w:val="auto"/>
                <w:kern w:val="0"/>
                <w:sz w:val="24"/>
                <w:highlight w:val="none"/>
                <w:u w:color="000000"/>
              </w:rPr>
            </w:pPr>
            <w:r>
              <w:rPr>
                <w:rFonts w:hint="eastAsia" w:ascii="宋体"/>
                <w:color w:val="auto"/>
                <w:kern w:val="0"/>
                <w:sz w:val="24"/>
                <w:highlight w:val="none"/>
                <w:u w:color="000000"/>
              </w:rPr>
              <w:t>（11）</w:t>
            </w:r>
            <w:r>
              <w:rPr>
                <w:rFonts w:ascii="宋体"/>
                <w:color w:val="auto"/>
                <w:kern w:val="0"/>
                <w:sz w:val="24"/>
                <w:highlight w:val="none"/>
                <w:u w:color="000000"/>
              </w:rPr>
              <w:t>触摸屏</w:t>
            </w:r>
            <w:r>
              <w:rPr>
                <w:rFonts w:hint="eastAsia" w:ascii="宋体"/>
                <w:color w:val="auto"/>
                <w:kern w:val="0"/>
                <w:sz w:val="24"/>
                <w:highlight w:val="none"/>
                <w:u w:color="000000"/>
              </w:rPr>
              <w:t>：</w:t>
            </w:r>
            <w:r>
              <w:rPr>
                <w:rFonts w:ascii="宋体"/>
                <w:color w:val="auto"/>
                <w:kern w:val="0"/>
                <w:sz w:val="24"/>
                <w:highlight w:val="none"/>
                <w:u w:color="000000"/>
              </w:rPr>
              <w:t>西门子、</w:t>
            </w:r>
            <w:r>
              <w:rPr>
                <w:rFonts w:hint="eastAsia" w:ascii="宋体"/>
                <w:color w:val="auto"/>
                <w:kern w:val="0"/>
                <w:sz w:val="24"/>
                <w:highlight w:val="none"/>
                <w:u w:color="000000"/>
                <w:lang w:eastAsia="zh-CN"/>
              </w:rPr>
              <w:t>威纶通</w:t>
            </w:r>
            <w:r>
              <w:rPr>
                <w:rFonts w:ascii="宋体"/>
                <w:color w:val="auto"/>
                <w:kern w:val="0"/>
                <w:sz w:val="24"/>
                <w:highlight w:val="none"/>
                <w:u w:color="000000"/>
              </w:rPr>
              <w:t>、昆仑通态、施耐德品牌</w:t>
            </w:r>
          </w:p>
          <w:p w14:paraId="0EE15B2E">
            <w:pPr>
              <w:pStyle w:val="55"/>
              <w:spacing w:line="276" w:lineRule="auto"/>
              <w:rPr>
                <w:rFonts w:hAnsi="宋体" w:cs="宋体"/>
                <w:color w:val="auto"/>
                <w:szCs w:val="24"/>
                <w:highlight w:val="none"/>
              </w:rPr>
            </w:pPr>
            <w:r>
              <w:rPr>
                <w:rFonts w:hAnsi="宋体"/>
                <w:bCs/>
                <w:color w:val="auto"/>
                <w:szCs w:val="21"/>
                <w:highlight w:val="none"/>
              </w:rPr>
              <w:t>注：除以上明确的品牌外，欢迎其他在品牌知名度、信誉度、质量、性能、技术指标等方面不低于上述品牌的产品参加，但必须在</w:t>
            </w:r>
            <w:r>
              <w:rPr>
                <w:rFonts w:hint="eastAsia" w:hAnsi="宋体"/>
                <w:bCs/>
                <w:color w:val="auto"/>
                <w:szCs w:val="21"/>
                <w:highlight w:val="none"/>
                <w:lang w:eastAsia="zh-CN"/>
              </w:rPr>
              <w:t>2025年</w:t>
            </w:r>
            <w:r>
              <w:rPr>
                <w:rFonts w:hint="eastAsia" w:hAnsi="宋体"/>
                <w:bCs/>
                <w:color w:val="0000FF"/>
                <w:szCs w:val="21"/>
                <w:highlight w:val="yellow"/>
                <w:u w:val="single" w:color="auto"/>
                <w:lang w:val="en-US" w:eastAsia="zh-CN"/>
              </w:rPr>
              <w:t>9</w:t>
            </w:r>
            <w:r>
              <w:rPr>
                <w:rFonts w:hAnsi="宋体"/>
                <w:bCs/>
                <w:color w:val="0000FF"/>
                <w:szCs w:val="21"/>
                <w:highlight w:val="yellow"/>
              </w:rPr>
              <w:t>月</w:t>
            </w:r>
            <w:r>
              <w:rPr>
                <w:rFonts w:hint="eastAsia" w:hAnsi="宋体"/>
                <w:bCs/>
                <w:color w:val="0000FF"/>
                <w:szCs w:val="21"/>
                <w:highlight w:val="yellow"/>
                <w:u w:val="single" w:color="auto"/>
                <w:lang w:val="en-US" w:eastAsia="zh-CN"/>
              </w:rPr>
              <w:t>25</w:t>
            </w:r>
            <w:r>
              <w:rPr>
                <w:rFonts w:hAnsi="宋体"/>
                <w:bCs/>
                <w:color w:val="0000FF"/>
                <w:szCs w:val="21"/>
                <w:highlight w:val="yellow"/>
              </w:rPr>
              <w:t>日</w:t>
            </w:r>
            <w:r>
              <w:rPr>
                <w:rFonts w:hint="eastAsia" w:hAnsi="宋体"/>
                <w:bCs/>
                <w:color w:val="auto"/>
                <w:szCs w:val="21"/>
                <w:highlight w:val="none"/>
              </w:rPr>
              <w:t>下午</w:t>
            </w:r>
            <w:r>
              <w:rPr>
                <w:rFonts w:hAnsi="宋体"/>
                <w:bCs/>
                <w:color w:val="auto"/>
                <w:szCs w:val="21"/>
                <w:highlight w:val="none"/>
              </w:rPr>
              <w:t>4</w:t>
            </w:r>
            <w:r>
              <w:rPr>
                <w:rFonts w:hint="eastAsia" w:hAnsi="宋体"/>
                <w:bCs/>
                <w:color w:val="auto"/>
                <w:szCs w:val="21"/>
                <w:highlight w:val="none"/>
              </w:rPr>
              <w:t>:00</w:t>
            </w:r>
            <w:r>
              <w:rPr>
                <w:rFonts w:hAnsi="宋体"/>
                <w:bCs/>
                <w:color w:val="auto"/>
                <w:szCs w:val="21"/>
                <w:highlight w:val="none"/>
              </w:rPr>
              <w:t>前，以书面形式（加盖公章）向</w:t>
            </w:r>
            <w:r>
              <w:rPr>
                <w:rFonts w:hint="eastAsia" w:hAnsi="宋体"/>
                <w:bCs/>
                <w:color w:val="auto"/>
                <w:szCs w:val="21"/>
                <w:highlight w:val="none"/>
              </w:rPr>
              <w:t>采购人</w:t>
            </w:r>
            <w:r>
              <w:rPr>
                <w:rFonts w:hAnsi="宋体"/>
                <w:bCs/>
                <w:color w:val="auto"/>
                <w:szCs w:val="21"/>
                <w:highlight w:val="none"/>
              </w:rPr>
              <w:t>提出，并附产品详细技术参数，并证明所投品牌的技术需求和性能与参照品牌同档次或高于参照品牌档次，征得</w:t>
            </w:r>
            <w:r>
              <w:rPr>
                <w:rFonts w:hint="eastAsia" w:hAnsi="宋体"/>
                <w:bCs/>
                <w:color w:val="auto"/>
                <w:szCs w:val="21"/>
                <w:highlight w:val="none"/>
              </w:rPr>
              <w:t>采购人</w:t>
            </w:r>
            <w:r>
              <w:rPr>
                <w:rFonts w:hAnsi="宋体"/>
                <w:bCs/>
                <w:color w:val="auto"/>
                <w:szCs w:val="21"/>
                <w:highlight w:val="none"/>
              </w:rPr>
              <w:t>的认可并在</w:t>
            </w:r>
            <w:r>
              <w:rPr>
                <w:rFonts w:hint="eastAsia" w:hAnsi="宋体"/>
                <w:bCs/>
                <w:color w:val="auto"/>
                <w:szCs w:val="21"/>
                <w:highlight w:val="none"/>
              </w:rPr>
              <w:t>更正公告</w:t>
            </w:r>
            <w:r>
              <w:rPr>
                <w:rFonts w:hAnsi="宋体"/>
                <w:bCs/>
                <w:color w:val="auto"/>
                <w:szCs w:val="21"/>
                <w:highlight w:val="none"/>
              </w:rPr>
              <w:t>中公布后才可参加本次投标。</w:t>
            </w:r>
          </w:p>
        </w:tc>
      </w:tr>
      <w:tr w14:paraId="65517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46" w:type="dxa"/>
            <w:vAlign w:val="center"/>
          </w:tcPr>
          <w:p w14:paraId="6CDCD352">
            <w:pPr>
              <w:jc w:val="center"/>
              <w:rPr>
                <w:rFonts w:ascii="宋体" w:hAnsi="宋体"/>
                <w:bCs/>
                <w:sz w:val="24"/>
                <w:szCs w:val="24"/>
                <w:highlight w:val="none"/>
              </w:rPr>
            </w:pPr>
            <w:r>
              <w:rPr>
                <w:rFonts w:hint="eastAsia" w:ascii="宋体" w:hAnsi="宋体"/>
                <w:bCs/>
                <w:sz w:val="24"/>
                <w:szCs w:val="24"/>
                <w:highlight w:val="none"/>
              </w:rPr>
              <w:t>3</w:t>
            </w:r>
          </w:p>
        </w:tc>
        <w:tc>
          <w:tcPr>
            <w:tcW w:w="9273" w:type="dxa"/>
            <w:gridSpan w:val="2"/>
          </w:tcPr>
          <w:p w14:paraId="4EC67BAF">
            <w:pPr>
              <w:pStyle w:val="55"/>
              <w:rPr>
                <w:rFonts w:hAnsi="宋体"/>
                <w:bCs/>
                <w:color w:val="auto"/>
                <w:szCs w:val="24"/>
                <w:highlight w:val="none"/>
                <w:lang w:val="zh-CN"/>
              </w:rPr>
            </w:pPr>
            <w:r>
              <w:rPr>
                <w:rFonts w:hint="eastAsia" w:hAnsi="宋体"/>
                <w:bCs/>
                <w:color w:val="auto"/>
                <w:szCs w:val="24"/>
                <w:highlight w:val="none"/>
                <w:lang w:val="zh-CN"/>
              </w:rPr>
              <w:t>集中考察或答疑：无。</w:t>
            </w:r>
          </w:p>
        </w:tc>
      </w:tr>
      <w:tr w14:paraId="475C7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746" w:type="dxa"/>
            <w:vAlign w:val="center"/>
          </w:tcPr>
          <w:p w14:paraId="646F7538">
            <w:pPr>
              <w:jc w:val="center"/>
              <w:rPr>
                <w:rFonts w:ascii="宋体" w:hAnsi="宋体"/>
                <w:bCs/>
                <w:sz w:val="24"/>
                <w:szCs w:val="24"/>
                <w:highlight w:val="none"/>
              </w:rPr>
            </w:pPr>
            <w:r>
              <w:rPr>
                <w:rFonts w:hint="eastAsia" w:ascii="宋体" w:hAnsi="宋体"/>
                <w:bCs/>
                <w:sz w:val="24"/>
                <w:szCs w:val="24"/>
                <w:highlight w:val="none"/>
              </w:rPr>
              <w:t>4</w:t>
            </w:r>
          </w:p>
        </w:tc>
        <w:tc>
          <w:tcPr>
            <w:tcW w:w="9273" w:type="dxa"/>
            <w:gridSpan w:val="2"/>
          </w:tcPr>
          <w:p w14:paraId="6CD82AA0">
            <w:pPr>
              <w:pStyle w:val="55"/>
              <w:rPr>
                <w:rFonts w:hAnsi="宋体"/>
                <w:bCs/>
                <w:color w:val="auto"/>
                <w:kern w:val="2"/>
                <w:szCs w:val="24"/>
                <w:highlight w:val="none"/>
              </w:rPr>
            </w:pPr>
            <w:bookmarkStart w:id="6" w:name="OLE_LINK49"/>
            <w:bookmarkStart w:id="7" w:name="OLE_LINK138"/>
            <w:r>
              <w:rPr>
                <w:rFonts w:hint="eastAsia"/>
                <w:color w:val="auto"/>
                <w:highlight w:val="none"/>
              </w:rPr>
              <w:t>采购人根据项目的实际情况，要求投标人在</w:t>
            </w:r>
            <w:r>
              <w:rPr>
                <w:rFonts w:hint="eastAsia"/>
                <w:color w:val="auto"/>
                <w:highlight w:val="none"/>
                <w:lang w:val="en-US" w:eastAsia="zh-CN"/>
              </w:rPr>
              <w:t>投标截止时间</w:t>
            </w:r>
            <w:r>
              <w:rPr>
                <w:rFonts w:hint="eastAsia"/>
                <w:color w:val="auto"/>
                <w:highlight w:val="none"/>
              </w:rPr>
              <w:t>前须交纳投标保证金人民币</w:t>
            </w:r>
            <w:r>
              <w:rPr>
                <w:rFonts w:hint="eastAsia"/>
                <w:b/>
                <w:bCs/>
                <w:color w:val="0000FF"/>
                <w:highlight w:val="none"/>
                <w:u w:val="single"/>
                <w:lang w:val="en-US" w:eastAsia="zh-CN"/>
              </w:rPr>
              <w:t>壹万伍</w:t>
            </w:r>
            <w:bookmarkStart w:id="83" w:name="_GoBack"/>
            <w:bookmarkEnd w:id="83"/>
            <w:r>
              <w:rPr>
                <w:rFonts w:hint="eastAsia"/>
                <w:b/>
                <w:bCs/>
                <w:color w:val="0000FF"/>
                <w:highlight w:val="none"/>
                <w:u w:val="single"/>
                <w:lang w:val="en-US" w:eastAsia="zh-CN"/>
              </w:rPr>
              <w:t>仟</w:t>
            </w:r>
            <w:r>
              <w:rPr>
                <w:rFonts w:hint="eastAsia"/>
                <w:b/>
                <w:bCs/>
                <w:color w:val="0000FF"/>
                <w:highlight w:val="none"/>
                <w:u w:val="single"/>
              </w:rPr>
              <w:t>元</w:t>
            </w:r>
            <w:bookmarkEnd w:id="6"/>
            <w:r>
              <w:rPr>
                <w:rFonts w:hint="eastAsia"/>
                <w:b/>
                <w:bCs/>
                <w:color w:val="auto"/>
                <w:highlight w:val="none"/>
                <w:u w:val="single"/>
              </w:rPr>
              <w:t>。</w:t>
            </w:r>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7"/>
            <w:r>
              <w:rPr>
                <w:rFonts w:hint="eastAsia" w:hAnsi="宋体"/>
                <w:bCs/>
                <w:color w:val="auto"/>
                <w:kern w:val="2"/>
                <w:szCs w:val="24"/>
                <w:highlight w:val="none"/>
              </w:rPr>
              <w:t>：</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6AF81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3023F9D8">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vAlign w:val="center"/>
                </w:tcPr>
                <w:p w14:paraId="3008FAD5">
                  <w:pPr>
                    <w:jc w:val="center"/>
                    <w:rPr>
                      <w:rFonts w:hAnsi="宋体"/>
                      <w:bCs/>
                      <w:color w:val="auto"/>
                      <w:szCs w:val="21"/>
                      <w:highlight w:val="none"/>
                      <w:lang w:val="zh-CN"/>
                    </w:rPr>
                  </w:pPr>
                  <w:r>
                    <w:rPr>
                      <w:rFonts w:hint="eastAsia" w:hAnsi="宋体"/>
                      <w:bCs/>
                      <w:color w:val="auto"/>
                      <w:szCs w:val="21"/>
                      <w:highlight w:val="none"/>
                      <w:lang w:val="zh-CN"/>
                    </w:rPr>
                    <w:t>宜兴市公用环保集团有限公司</w:t>
                  </w:r>
                </w:p>
              </w:tc>
              <w:tc>
                <w:tcPr>
                  <w:tcW w:w="1084" w:type="dxa"/>
                  <w:vMerge w:val="restart"/>
                  <w:vAlign w:val="center"/>
                </w:tcPr>
                <w:p w14:paraId="6D84C51B">
                  <w:pPr>
                    <w:jc w:val="center"/>
                    <w:rPr>
                      <w:rFonts w:hAnsi="宋体"/>
                      <w:bCs/>
                      <w:color w:val="auto"/>
                      <w:szCs w:val="21"/>
                      <w:highlight w:val="none"/>
                      <w:lang w:val="zh-CN"/>
                    </w:rPr>
                  </w:pPr>
                  <w:r>
                    <w:rPr>
                      <w:rFonts w:hint="eastAsia" w:hAnsi="宋体"/>
                      <w:bCs/>
                      <w:color w:val="auto"/>
                      <w:szCs w:val="21"/>
                      <w:highlight w:val="none"/>
                      <w:lang w:val="zh-CN"/>
                    </w:rPr>
                    <w:t>交纳</w:t>
                  </w:r>
                </w:p>
                <w:p w14:paraId="2FF58C75">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vAlign w:val="center"/>
                </w:tcPr>
                <w:p w14:paraId="474715EB">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14:paraId="1C119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2ACAAF65">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vAlign w:val="center"/>
                </w:tcPr>
                <w:p w14:paraId="34CA5C8D">
                  <w:pPr>
                    <w:jc w:val="center"/>
                    <w:rPr>
                      <w:color w:val="auto"/>
                      <w:szCs w:val="21"/>
                      <w:highlight w:val="none"/>
                    </w:rPr>
                  </w:pPr>
                  <w:r>
                    <w:rPr>
                      <w:rFonts w:hint="eastAsia"/>
                      <w:color w:val="auto"/>
                      <w:szCs w:val="21"/>
                      <w:highlight w:val="none"/>
                    </w:rPr>
                    <w:t>光大银行宜兴支行</w:t>
                  </w:r>
                </w:p>
              </w:tc>
              <w:tc>
                <w:tcPr>
                  <w:tcW w:w="1084" w:type="dxa"/>
                  <w:vMerge w:val="continue"/>
                  <w:vAlign w:val="center"/>
                </w:tcPr>
                <w:p w14:paraId="7C574C66">
                  <w:pPr>
                    <w:jc w:val="center"/>
                    <w:rPr>
                      <w:rFonts w:hAnsi="宋体"/>
                      <w:bCs/>
                      <w:color w:val="auto"/>
                      <w:szCs w:val="21"/>
                      <w:highlight w:val="none"/>
                      <w:lang w:val="zh-CN"/>
                    </w:rPr>
                  </w:pPr>
                </w:p>
              </w:tc>
              <w:tc>
                <w:tcPr>
                  <w:tcW w:w="2663" w:type="dxa"/>
                  <w:vMerge w:val="continue"/>
                  <w:vAlign w:val="center"/>
                </w:tcPr>
                <w:p w14:paraId="7215E993">
                  <w:pPr>
                    <w:jc w:val="center"/>
                    <w:rPr>
                      <w:rFonts w:hAnsi="宋体"/>
                      <w:bCs/>
                      <w:color w:val="auto"/>
                      <w:szCs w:val="21"/>
                      <w:highlight w:val="none"/>
                      <w:lang w:val="zh-CN"/>
                    </w:rPr>
                  </w:pPr>
                </w:p>
              </w:tc>
            </w:tr>
            <w:tr w14:paraId="2EAC4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3E0CB172">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vAlign w:val="center"/>
                </w:tcPr>
                <w:p w14:paraId="692C3A3D">
                  <w:pPr>
                    <w:jc w:val="center"/>
                    <w:rPr>
                      <w:rFonts w:hint="default" w:eastAsiaTheme="minorEastAsia"/>
                      <w:color w:val="auto"/>
                      <w:szCs w:val="21"/>
                      <w:highlight w:val="none"/>
                      <w:lang w:val="en-US" w:eastAsia="zh-CN"/>
                    </w:rPr>
                  </w:pPr>
                  <w:r>
                    <w:rPr>
                      <w:rFonts w:hint="default" w:eastAsiaTheme="minorEastAsia"/>
                      <w:color w:val="auto"/>
                      <w:szCs w:val="21"/>
                      <w:highlight w:val="none"/>
                      <w:lang w:val="en-US" w:eastAsia="zh-CN"/>
                    </w:rPr>
                    <w:t>51610188000311700</w:t>
                  </w:r>
                </w:p>
              </w:tc>
              <w:tc>
                <w:tcPr>
                  <w:tcW w:w="1084" w:type="dxa"/>
                  <w:vMerge w:val="continue"/>
                  <w:vAlign w:val="center"/>
                </w:tcPr>
                <w:p w14:paraId="14C9888B">
                  <w:pPr>
                    <w:jc w:val="center"/>
                    <w:rPr>
                      <w:rFonts w:hAnsi="宋体"/>
                      <w:bCs/>
                      <w:color w:val="auto"/>
                      <w:szCs w:val="21"/>
                      <w:highlight w:val="none"/>
                      <w:lang w:val="zh-CN"/>
                    </w:rPr>
                  </w:pPr>
                </w:p>
              </w:tc>
              <w:tc>
                <w:tcPr>
                  <w:tcW w:w="2663" w:type="dxa"/>
                  <w:vMerge w:val="continue"/>
                  <w:vAlign w:val="center"/>
                </w:tcPr>
                <w:p w14:paraId="3041DBCC">
                  <w:pPr>
                    <w:jc w:val="center"/>
                    <w:rPr>
                      <w:rFonts w:hAnsi="宋体"/>
                      <w:bCs/>
                      <w:color w:val="auto"/>
                      <w:szCs w:val="21"/>
                      <w:highlight w:val="none"/>
                      <w:lang w:val="zh-CN"/>
                    </w:rPr>
                  </w:pPr>
                </w:p>
              </w:tc>
            </w:tr>
          </w:tbl>
          <w:p w14:paraId="74BEFE24">
            <w:pPr>
              <w:rPr>
                <w:rFonts w:hAnsi="宋体"/>
                <w:b/>
                <w:bCs/>
                <w:color w:val="auto"/>
                <w:sz w:val="24"/>
                <w:szCs w:val="24"/>
                <w:highlight w:val="none"/>
              </w:rPr>
            </w:pPr>
            <w:r>
              <w:rPr>
                <w:rFonts w:hint="eastAsia"/>
                <w:b/>
                <w:color w:val="auto"/>
                <w:sz w:val="24"/>
                <w:szCs w:val="24"/>
                <w:highlight w:val="none"/>
              </w:rPr>
              <w:t>注：缴纳投标保证金账户为涉密账户，账号随机，请投标单位仔细核对账号后缴纳投标保证金，否则作废标处理。</w:t>
            </w:r>
          </w:p>
        </w:tc>
      </w:tr>
      <w:tr w14:paraId="6D899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746" w:type="dxa"/>
            <w:vAlign w:val="center"/>
          </w:tcPr>
          <w:p w14:paraId="5F5B51CA">
            <w:pPr>
              <w:jc w:val="center"/>
              <w:rPr>
                <w:rFonts w:ascii="宋体" w:hAnsi="宋体"/>
                <w:bCs/>
                <w:sz w:val="24"/>
                <w:szCs w:val="24"/>
                <w:highlight w:val="none"/>
              </w:rPr>
            </w:pPr>
            <w:r>
              <w:rPr>
                <w:rFonts w:hint="eastAsia" w:ascii="宋体" w:hAnsi="宋体"/>
                <w:bCs/>
                <w:sz w:val="24"/>
                <w:szCs w:val="24"/>
                <w:highlight w:val="none"/>
              </w:rPr>
              <w:t>5</w:t>
            </w:r>
          </w:p>
        </w:tc>
        <w:tc>
          <w:tcPr>
            <w:tcW w:w="9273" w:type="dxa"/>
            <w:gridSpan w:val="2"/>
          </w:tcPr>
          <w:p w14:paraId="7FE8CB67">
            <w:pPr>
              <w:rPr>
                <w:color w:val="auto"/>
                <w:sz w:val="24"/>
                <w:szCs w:val="28"/>
              </w:rPr>
            </w:pPr>
            <w:r>
              <w:rPr>
                <w:rFonts w:hint="eastAsia"/>
                <w:color w:val="auto"/>
                <w:sz w:val="24"/>
                <w:szCs w:val="28"/>
              </w:rPr>
              <w:t>投标文件正本份数：</w:t>
            </w:r>
            <w:r>
              <w:rPr>
                <w:color w:val="auto"/>
                <w:sz w:val="24"/>
                <w:szCs w:val="28"/>
              </w:rPr>
              <w:t>1</w:t>
            </w:r>
            <w:r>
              <w:rPr>
                <w:rFonts w:hint="eastAsia"/>
                <w:color w:val="auto"/>
                <w:sz w:val="24"/>
                <w:szCs w:val="28"/>
              </w:rPr>
              <w:t>份（需装订后密封）</w:t>
            </w:r>
          </w:p>
          <w:p w14:paraId="50809B7D">
            <w:pPr>
              <w:rPr>
                <w:color w:val="auto"/>
                <w:sz w:val="24"/>
                <w:szCs w:val="28"/>
              </w:rPr>
            </w:pPr>
            <w:r>
              <w:rPr>
                <w:rFonts w:hint="eastAsia"/>
                <w:color w:val="auto"/>
                <w:sz w:val="24"/>
                <w:szCs w:val="28"/>
              </w:rPr>
              <w:t>投标文件副本份数：4份（需装订后密封）</w:t>
            </w:r>
          </w:p>
          <w:p w14:paraId="121DEC2F">
            <w:pPr>
              <w:rPr>
                <w:rFonts w:hint="eastAsia"/>
                <w:color w:val="auto"/>
                <w:sz w:val="24"/>
                <w:szCs w:val="28"/>
              </w:rPr>
            </w:pPr>
            <w:r>
              <w:rPr>
                <w:rFonts w:hint="eastAsia"/>
                <w:color w:val="auto"/>
                <w:sz w:val="24"/>
                <w:szCs w:val="28"/>
              </w:rPr>
              <w:t>资格审查原件：</w:t>
            </w:r>
            <w:r>
              <w:rPr>
                <w:color w:val="auto"/>
                <w:sz w:val="24"/>
                <w:szCs w:val="28"/>
              </w:rPr>
              <w:t>1</w:t>
            </w:r>
            <w:r>
              <w:rPr>
                <w:rFonts w:hint="eastAsia"/>
                <w:color w:val="auto"/>
                <w:sz w:val="24"/>
                <w:szCs w:val="28"/>
              </w:rPr>
              <w:t>份（不需密封）</w:t>
            </w:r>
          </w:p>
          <w:p w14:paraId="0B00FBBC">
            <w:pPr>
              <w:rPr>
                <w:color w:val="auto"/>
              </w:rPr>
            </w:pPr>
            <w:r>
              <w:rPr>
                <w:rFonts w:hint="eastAsia" w:ascii="宋体" w:hAnsi="宋体" w:eastAsia="宋体" w:cs="Times New Roman"/>
                <w:bCs/>
                <w:color w:val="auto"/>
                <w:kern w:val="0"/>
                <w:sz w:val="24"/>
                <w:szCs w:val="24"/>
                <w:u w:color="000000"/>
                <w:lang w:val="en-US" w:eastAsia="zh-CN" w:bidi="ar-SA"/>
              </w:rPr>
              <w:t>注：投标人必须同时递交电子标书光盘或U盘，应将电子标书光盘或U盘密封在一个封套中，加封封条，并在封套的封口处加盖投标人单位章。电子标书为正本的扫描件（含签字并盖章）。</w:t>
            </w:r>
          </w:p>
        </w:tc>
      </w:tr>
      <w:tr w14:paraId="58CF8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46" w:type="dxa"/>
            <w:vAlign w:val="center"/>
          </w:tcPr>
          <w:p w14:paraId="326D1FA9">
            <w:pPr>
              <w:jc w:val="center"/>
              <w:rPr>
                <w:rFonts w:ascii="宋体" w:hAnsi="宋体"/>
                <w:bCs/>
                <w:sz w:val="24"/>
                <w:szCs w:val="24"/>
                <w:highlight w:val="none"/>
              </w:rPr>
            </w:pPr>
            <w:r>
              <w:rPr>
                <w:rFonts w:hint="eastAsia" w:ascii="宋体" w:hAnsi="宋体"/>
                <w:bCs/>
                <w:sz w:val="24"/>
                <w:szCs w:val="24"/>
                <w:highlight w:val="none"/>
              </w:rPr>
              <w:t>6</w:t>
            </w:r>
          </w:p>
        </w:tc>
        <w:tc>
          <w:tcPr>
            <w:tcW w:w="9273" w:type="dxa"/>
            <w:gridSpan w:val="2"/>
          </w:tcPr>
          <w:p w14:paraId="70F9B171">
            <w:pPr>
              <w:rPr>
                <w:rFonts w:hint="default" w:ascii="宋体" w:hAnsi="宋体" w:eastAsiaTheme="minorEastAsia"/>
                <w:bCs/>
                <w:color w:val="auto"/>
                <w:sz w:val="24"/>
                <w:szCs w:val="24"/>
                <w:highlight w:val="none"/>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详见采购公告</w:t>
            </w:r>
          </w:p>
          <w:p w14:paraId="737271DC">
            <w:pPr>
              <w:rPr>
                <w:rFonts w:ascii="宋体" w:hAnsi="宋体"/>
                <w:bCs/>
                <w:color w:val="auto"/>
                <w:sz w:val="24"/>
                <w:szCs w:val="24"/>
                <w:highlight w:val="none"/>
              </w:rPr>
            </w:pPr>
            <w:r>
              <w:rPr>
                <w:rFonts w:hint="eastAsia" w:ascii="宋体" w:hAnsi="宋体"/>
                <w:bCs/>
                <w:color w:val="auto"/>
                <w:sz w:val="24"/>
                <w:szCs w:val="24"/>
                <w:highlight w:val="none"/>
              </w:rPr>
              <w:t>定标时间：评标结束后</w:t>
            </w:r>
          </w:p>
          <w:p w14:paraId="03E3C925">
            <w:pPr>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w:t>
            </w:r>
            <w:r>
              <w:rPr>
                <w:rFonts w:hint="eastAsia" w:ascii="宋体" w:hAnsi="宋体" w:eastAsia="宋体" w:cs="Times New Roman"/>
                <w:bCs/>
                <w:color w:val="auto"/>
                <w:sz w:val="24"/>
                <w:szCs w:val="24"/>
                <w:highlight w:val="none"/>
                <w:lang w:val="zh-CN"/>
              </w:rPr>
              <w:t>江苏益诚建设工程咨询有限公司三楼开标室（宜兴市屺亭街道诸桥路20号2号楼）</w:t>
            </w:r>
          </w:p>
        </w:tc>
      </w:tr>
      <w:tr w14:paraId="5306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46" w:type="dxa"/>
            <w:vMerge w:val="restart"/>
            <w:vAlign w:val="center"/>
          </w:tcPr>
          <w:p w14:paraId="465DBD0F">
            <w:pPr>
              <w:jc w:val="center"/>
              <w:rPr>
                <w:rFonts w:ascii="宋体" w:hAnsi="宋体"/>
                <w:bCs/>
                <w:sz w:val="24"/>
                <w:szCs w:val="24"/>
                <w:highlight w:val="none"/>
              </w:rPr>
            </w:pPr>
            <w:r>
              <w:rPr>
                <w:rFonts w:hint="eastAsia" w:ascii="宋体" w:hAnsi="宋体"/>
                <w:bCs/>
                <w:sz w:val="24"/>
                <w:szCs w:val="24"/>
                <w:highlight w:val="none"/>
              </w:rPr>
              <w:t>7</w:t>
            </w:r>
          </w:p>
        </w:tc>
        <w:tc>
          <w:tcPr>
            <w:tcW w:w="4381" w:type="dxa"/>
          </w:tcPr>
          <w:p w14:paraId="20A85D27">
            <w:pPr>
              <w:rPr>
                <w:rFonts w:ascii="宋体" w:hAnsi="宋体"/>
                <w:color w:val="auto"/>
                <w:sz w:val="24"/>
                <w:szCs w:val="28"/>
                <w:highlight w:val="none"/>
              </w:rPr>
            </w:pPr>
            <w:r>
              <w:rPr>
                <w:rFonts w:hint="eastAsia" w:ascii="宋体" w:hAnsi="宋体"/>
                <w:color w:val="auto"/>
                <w:sz w:val="24"/>
                <w:szCs w:val="28"/>
                <w:highlight w:val="none"/>
              </w:rPr>
              <w:t>采购人：</w:t>
            </w:r>
            <w:bookmarkStart w:id="8" w:name="OLE_LINK35"/>
            <w:r>
              <w:rPr>
                <w:rFonts w:hint="eastAsia" w:ascii="宋体" w:hAnsi="宋体"/>
                <w:color w:val="auto"/>
                <w:sz w:val="24"/>
                <w:szCs w:val="28"/>
                <w:highlight w:val="none"/>
              </w:rPr>
              <w:t>宜兴市公用投资管理有限公司</w:t>
            </w:r>
            <w:bookmarkEnd w:id="8"/>
          </w:p>
          <w:p w14:paraId="0B8CB003">
            <w:pPr>
              <w:rPr>
                <w:rFonts w:ascii="宋体" w:hAnsi="宋体"/>
                <w:color w:val="auto"/>
                <w:sz w:val="24"/>
                <w:szCs w:val="28"/>
                <w:highlight w:val="none"/>
              </w:rPr>
            </w:pPr>
            <w:r>
              <w:rPr>
                <w:rFonts w:hint="eastAsia" w:ascii="宋体" w:hAnsi="宋体"/>
                <w:color w:val="auto"/>
                <w:sz w:val="24"/>
                <w:szCs w:val="28"/>
                <w:highlight w:val="none"/>
              </w:rPr>
              <w:t>联系人：</w:t>
            </w:r>
            <w:bookmarkStart w:id="9" w:name="OLE_LINK34"/>
            <w:r>
              <w:rPr>
                <w:rFonts w:hint="eastAsia" w:ascii="宋体" w:hAnsi="宋体"/>
                <w:color w:val="auto"/>
                <w:sz w:val="24"/>
                <w:szCs w:val="28"/>
                <w:highlight w:val="none"/>
              </w:rPr>
              <w:t>刘先生</w:t>
            </w:r>
          </w:p>
          <w:p w14:paraId="27AC6CBD">
            <w:pPr>
              <w:rPr>
                <w:rFonts w:ascii="宋体" w:hAnsi="宋体"/>
                <w:color w:val="auto"/>
                <w:sz w:val="24"/>
                <w:szCs w:val="28"/>
                <w:highlight w:val="none"/>
              </w:rPr>
            </w:pPr>
            <w:r>
              <w:rPr>
                <w:rFonts w:hint="eastAsia" w:ascii="宋体" w:hAnsi="宋体"/>
                <w:color w:val="auto"/>
                <w:sz w:val="24"/>
                <w:szCs w:val="28"/>
                <w:highlight w:val="none"/>
              </w:rPr>
              <w:t>联系电话：0510-80718867</w:t>
            </w:r>
          </w:p>
          <w:p w14:paraId="57CEA166">
            <w:pPr>
              <w:rPr>
                <w:rFonts w:ascii="宋体" w:hAnsi="宋体"/>
                <w:color w:val="auto"/>
                <w:sz w:val="24"/>
                <w:szCs w:val="28"/>
                <w:highlight w:val="none"/>
              </w:rPr>
            </w:pPr>
            <w:r>
              <w:rPr>
                <w:rFonts w:hint="eastAsia" w:ascii="宋体" w:hAnsi="宋体"/>
                <w:color w:val="auto"/>
                <w:sz w:val="24"/>
                <w:szCs w:val="28"/>
                <w:highlight w:val="none"/>
              </w:rPr>
              <w:t>联系地址：</w:t>
            </w:r>
            <w:r>
              <w:rPr>
                <w:rFonts w:ascii="宋体" w:hAnsi="宋体"/>
                <w:color w:val="auto"/>
                <w:sz w:val="24"/>
                <w:szCs w:val="28"/>
                <w:highlight w:val="none"/>
              </w:rPr>
              <w:t>宜兴市绿园路528号</w:t>
            </w:r>
          </w:p>
          <w:p w14:paraId="0F2A1618">
            <w:pPr>
              <w:rPr>
                <w:rFonts w:ascii="宋体" w:hAnsi="宋体"/>
                <w:color w:val="auto"/>
                <w:sz w:val="24"/>
                <w:szCs w:val="28"/>
                <w:highlight w:val="none"/>
              </w:rPr>
            </w:pPr>
            <w:r>
              <w:rPr>
                <w:rFonts w:hint="eastAsia" w:ascii="宋体" w:hAnsi="宋体"/>
                <w:color w:val="auto"/>
                <w:sz w:val="24"/>
                <w:szCs w:val="28"/>
                <w:highlight w:val="none"/>
              </w:rPr>
              <w:t>邮政编码：214000</w:t>
            </w:r>
            <w:bookmarkEnd w:id="9"/>
          </w:p>
        </w:tc>
        <w:tc>
          <w:tcPr>
            <w:tcW w:w="4892" w:type="dxa"/>
          </w:tcPr>
          <w:p w14:paraId="721D9BD3">
            <w:pPr>
              <w:rPr>
                <w:rFonts w:hint="eastAsia" w:ascii="宋体" w:hAnsi="宋体" w:eastAsiaTheme="minorEastAsia"/>
                <w:color w:val="auto"/>
                <w:sz w:val="24"/>
                <w:szCs w:val="28"/>
                <w:highlight w:val="none"/>
                <w:lang w:eastAsia="zh-CN"/>
              </w:rPr>
            </w:pPr>
            <w:r>
              <w:rPr>
                <w:rFonts w:hint="eastAsia" w:ascii="宋体" w:hAnsi="宋体"/>
                <w:color w:val="auto"/>
                <w:sz w:val="24"/>
                <w:szCs w:val="28"/>
                <w:highlight w:val="none"/>
              </w:rPr>
              <w:t>采购代理机构：</w:t>
            </w:r>
            <w:r>
              <w:rPr>
                <w:rFonts w:hint="eastAsia" w:ascii="宋体" w:hAnsi="宋体"/>
                <w:color w:val="auto"/>
                <w:sz w:val="24"/>
                <w:szCs w:val="28"/>
                <w:highlight w:val="none"/>
                <w:lang w:eastAsia="zh-CN"/>
              </w:rPr>
              <w:t>江苏益诚建设工程咨询有限公司</w:t>
            </w:r>
          </w:p>
          <w:p w14:paraId="358D061C">
            <w:pPr>
              <w:rPr>
                <w:rFonts w:ascii="宋体" w:hAnsi="宋体"/>
                <w:color w:val="auto"/>
                <w:sz w:val="24"/>
                <w:szCs w:val="28"/>
                <w:highlight w:val="none"/>
              </w:rPr>
            </w:pPr>
            <w:r>
              <w:rPr>
                <w:rFonts w:hint="eastAsia" w:ascii="宋体" w:hAnsi="宋体"/>
                <w:color w:val="auto"/>
                <w:sz w:val="24"/>
                <w:szCs w:val="28"/>
                <w:highlight w:val="none"/>
              </w:rPr>
              <w:t>联系人：</w:t>
            </w:r>
            <w:r>
              <w:rPr>
                <w:rFonts w:hint="eastAsia" w:ascii="宋体" w:hAnsi="宋体"/>
                <w:color w:val="auto"/>
                <w:sz w:val="24"/>
                <w:szCs w:val="28"/>
                <w:highlight w:val="none"/>
                <w:lang w:val="en-US" w:eastAsia="zh-CN"/>
              </w:rPr>
              <w:t>史</w:t>
            </w:r>
            <w:r>
              <w:rPr>
                <w:rFonts w:hint="eastAsia" w:ascii="宋体" w:hAnsi="宋体"/>
                <w:color w:val="auto"/>
                <w:sz w:val="24"/>
                <w:szCs w:val="28"/>
                <w:highlight w:val="none"/>
              </w:rPr>
              <w:t>女士</w:t>
            </w:r>
          </w:p>
          <w:p w14:paraId="568A4E6A">
            <w:pPr>
              <w:rPr>
                <w:rFonts w:hint="default" w:ascii="宋体" w:hAnsi="宋体" w:eastAsiaTheme="minorEastAsia"/>
                <w:color w:val="auto"/>
                <w:sz w:val="24"/>
                <w:szCs w:val="28"/>
                <w:highlight w:val="none"/>
                <w:lang w:val="en-US" w:eastAsia="zh-CN"/>
              </w:rPr>
            </w:pPr>
            <w:r>
              <w:rPr>
                <w:rFonts w:hint="eastAsia" w:ascii="宋体" w:hAnsi="宋体"/>
                <w:color w:val="auto"/>
                <w:sz w:val="24"/>
                <w:szCs w:val="28"/>
                <w:highlight w:val="none"/>
              </w:rPr>
              <w:t>联系电话：</w:t>
            </w:r>
            <w:r>
              <w:rPr>
                <w:rFonts w:hint="eastAsia" w:ascii="宋体" w:hAnsi="宋体"/>
                <w:color w:val="auto"/>
                <w:sz w:val="24"/>
                <w:szCs w:val="28"/>
                <w:highlight w:val="none"/>
                <w:lang w:val="en-US" w:eastAsia="zh-CN"/>
              </w:rPr>
              <w:t>13771301412</w:t>
            </w:r>
          </w:p>
          <w:p w14:paraId="7AF771A4">
            <w:pPr>
              <w:rPr>
                <w:rFonts w:ascii="宋体" w:hAnsi="宋体"/>
                <w:color w:val="auto"/>
                <w:sz w:val="24"/>
                <w:szCs w:val="28"/>
                <w:highlight w:val="none"/>
              </w:rPr>
            </w:pPr>
            <w:r>
              <w:rPr>
                <w:rFonts w:hint="eastAsia" w:ascii="宋体" w:hAnsi="宋体"/>
                <w:color w:val="auto"/>
                <w:sz w:val="24"/>
                <w:szCs w:val="28"/>
                <w:highlight w:val="none"/>
              </w:rPr>
              <w:t>联系地址：</w:t>
            </w:r>
            <w:r>
              <w:rPr>
                <w:rFonts w:hint="eastAsia" w:ascii="宋体" w:hAnsi="宋体" w:eastAsia="宋体" w:cs="Times New Roman"/>
                <w:bCs/>
                <w:color w:val="auto"/>
                <w:sz w:val="24"/>
                <w:szCs w:val="24"/>
                <w:highlight w:val="none"/>
                <w:lang w:val="zh-CN"/>
              </w:rPr>
              <w:t>宜兴市屺亭街道诸桥路20号2号楼</w:t>
            </w:r>
          </w:p>
          <w:p w14:paraId="25FA0C5E">
            <w:pPr>
              <w:rPr>
                <w:rFonts w:ascii="宋体" w:hAnsi="宋体"/>
                <w:color w:val="auto"/>
                <w:sz w:val="24"/>
                <w:szCs w:val="28"/>
                <w:highlight w:val="none"/>
              </w:rPr>
            </w:pPr>
            <w:r>
              <w:rPr>
                <w:rFonts w:hint="eastAsia" w:ascii="宋体" w:hAnsi="宋体"/>
                <w:color w:val="auto"/>
                <w:sz w:val="24"/>
                <w:szCs w:val="28"/>
                <w:highlight w:val="none"/>
              </w:rPr>
              <w:t>邮政编码：214200</w:t>
            </w:r>
          </w:p>
        </w:tc>
      </w:tr>
      <w:tr w14:paraId="57591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46" w:type="dxa"/>
            <w:vMerge w:val="continue"/>
            <w:vAlign w:val="center"/>
          </w:tcPr>
          <w:p w14:paraId="754522BB">
            <w:pPr>
              <w:jc w:val="center"/>
              <w:rPr>
                <w:rFonts w:ascii="宋体" w:hAnsi="宋体"/>
                <w:bCs/>
                <w:sz w:val="24"/>
                <w:szCs w:val="24"/>
                <w:highlight w:val="none"/>
              </w:rPr>
            </w:pPr>
          </w:p>
        </w:tc>
        <w:tc>
          <w:tcPr>
            <w:tcW w:w="4381" w:type="dxa"/>
          </w:tcPr>
          <w:p w14:paraId="7D91FEB6">
            <w:pPr>
              <w:rPr>
                <w:rFonts w:ascii="宋体" w:hAnsi="宋体"/>
                <w:sz w:val="24"/>
                <w:szCs w:val="28"/>
                <w:highlight w:val="none"/>
              </w:rPr>
            </w:pPr>
            <w:r>
              <w:rPr>
                <w:rFonts w:hint="eastAsia" w:ascii="宋体" w:hAnsi="宋体"/>
                <w:sz w:val="24"/>
                <w:szCs w:val="28"/>
                <w:highlight w:val="none"/>
              </w:rPr>
              <w:t>质疑受理人及联系电话：</w:t>
            </w:r>
          </w:p>
          <w:p w14:paraId="0171A4EB">
            <w:pPr>
              <w:rPr>
                <w:rFonts w:ascii="宋体" w:hAnsi="宋体"/>
                <w:sz w:val="24"/>
                <w:szCs w:val="28"/>
                <w:highlight w:val="none"/>
              </w:rPr>
            </w:pPr>
            <w:r>
              <w:rPr>
                <w:rFonts w:hint="eastAsia" w:ascii="宋体" w:hAnsi="宋体"/>
                <w:sz w:val="24"/>
                <w:szCs w:val="28"/>
                <w:highlight w:val="none"/>
              </w:rPr>
              <w:t>刘先生：0510-8071867</w:t>
            </w:r>
          </w:p>
          <w:p w14:paraId="2F698DA4">
            <w:pPr>
              <w:rPr>
                <w:rFonts w:ascii="宋体" w:hAnsi="宋体"/>
                <w:sz w:val="24"/>
                <w:szCs w:val="28"/>
                <w:highlight w:val="none"/>
              </w:rPr>
            </w:pPr>
            <w:r>
              <w:rPr>
                <w:rFonts w:hint="eastAsia" w:ascii="宋体" w:hAnsi="宋体"/>
                <w:sz w:val="24"/>
                <w:szCs w:val="28"/>
                <w:highlight w:val="none"/>
              </w:rPr>
              <w:t>沈女士：15161143434</w:t>
            </w:r>
          </w:p>
        </w:tc>
        <w:tc>
          <w:tcPr>
            <w:tcW w:w="4892" w:type="dxa"/>
          </w:tcPr>
          <w:p w14:paraId="54DF957A">
            <w:pPr>
              <w:spacing w:line="269" w:lineRule="auto"/>
              <w:jc w:val="left"/>
              <w:rPr>
                <w:rFonts w:ascii="宋体" w:hAnsi="宋体"/>
                <w:sz w:val="24"/>
                <w:szCs w:val="28"/>
                <w:highlight w:val="none"/>
              </w:rPr>
            </w:pPr>
            <w:r>
              <w:rPr>
                <w:rFonts w:hint="eastAsia" w:ascii="宋体" w:hAnsi="宋体"/>
                <w:sz w:val="24"/>
                <w:szCs w:val="28"/>
                <w:highlight w:val="none"/>
              </w:rPr>
              <w:t>采购监督管理及投诉处理主体：</w:t>
            </w:r>
          </w:p>
          <w:p w14:paraId="6BBA4926">
            <w:pPr>
              <w:spacing w:line="269" w:lineRule="auto"/>
              <w:jc w:val="left"/>
              <w:rPr>
                <w:rFonts w:ascii="宋体" w:hAnsi="宋体"/>
                <w:sz w:val="24"/>
                <w:szCs w:val="28"/>
                <w:highlight w:val="none"/>
              </w:rPr>
            </w:pPr>
            <w:r>
              <w:rPr>
                <w:rFonts w:hint="eastAsia" w:ascii="宋体" w:hAnsi="宋体"/>
                <w:sz w:val="24"/>
                <w:szCs w:val="28"/>
                <w:highlight w:val="none"/>
              </w:rPr>
              <w:t>宜兴市公用环保集团有限公司</w:t>
            </w:r>
          </w:p>
          <w:p w14:paraId="00A74672">
            <w:pPr>
              <w:rPr>
                <w:rFonts w:ascii="宋体" w:hAnsi="宋体"/>
                <w:sz w:val="24"/>
                <w:szCs w:val="28"/>
                <w:highlight w:val="none"/>
              </w:rPr>
            </w:pPr>
            <w:r>
              <w:rPr>
                <w:rFonts w:hint="eastAsia" w:ascii="宋体" w:hAnsi="宋体"/>
                <w:sz w:val="24"/>
                <w:szCs w:val="28"/>
                <w:highlight w:val="none"/>
              </w:rPr>
              <w:t>联系地址：中国宜兴环保科技工业园科技孵化园绿园路528号</w:t>
            </w:r>
          </w:p>
          <w:p w14:paraId="5C7BF1FA">
            <w:pPr>
              <w:rPr>
                <w:rFonts w:ascii="宋体" w:hAnsi="宋体"/>
                <w:sz w:val="24"/>
                <w:szCs w:val="28"/>
                <w:highlight w:val="none"/>
              </w:rPr>
            </w:pPr>
            <w:r>
              <w:rPr>
                <w:rFonts w:hint="eastAsia" w:ascii="宋体" w:hAnsi="宋体"/>
                <w:bCs/>
                <w:sz w:val="24"/>
                <w:szCs w:val="24"/>
                <w:highlight w:val="none"/>
                <w:lang w:val="zh-CN"/>
              </w:rPr>
              <w:t>联系电话：0510-80702109</w:t>
            </w:r>
          </w:p>
        </w:tc>
      </w:tr>
      <w:bookmarkEnd w:id="2"/>
    </w:tbl>
    <w:p w14:paraId="1B739E65">
      <w:pPr>
        <w:jc w:val="both"/>
        <w:outlineLvl w:val="0"/>
        <w:rPr>
          <w:rFonts w:ascii="黑体" w:hAnsi="黑体" w:eastAsia="黑体"/>
          <w:sz w:val="28"/>
          <w:highlight w:val="none"/>
        </w:rPr>
        <w:sectPr>
          <w:footerReference r:id="rId9" w:type="first"/>
          <w:footerReference r:id="rId8" w:type="default"/>
          <w:pgSz w:w="11907" w:h="16840"/>
          <w:pgMar w:top="1134" w:right="1134" w:bottom="1134" w:left="1134" w:header="851" w:footer="992" w:gutter="0"/>
          <w:pgNumType w:fmt="decimal" w:start="1"/>
          <w:cols w:space="720" w:num="1"/>
          <w:titlePg/>
          <w:docGrid w:type="lines" w:linePitch="312" w:charSpace="0"/>
        </w:sectPr>
      </w:pPr>
      <w:bookmarkStart w:id="10" w:name="_Toc60044036"/>
      <w:bookmarkStart w:id="11" w:name="_Toc64637565"/>
    </w:p>
    <w:p w14:paraId="5EC0DDE0">
      <w:pPr>
        <w:jc w:val="center"/>
        <w:outlineLvl w:val="0"/>
        <w:rPr>
          <w:rFonts w:ascii="黑体" w:hAnsi="黑体" w:eastAsia="黑体"/>
          <w:sz w:val="28"/>
          <w:highlight w:val="none"/>
        </w:rPr>
      </w:pPr>
      <w:r>
        <w:rPr>
          <w:rFonts w:hint="eastAsia" w:ascii="黑体" w:hAnsi="黑体" w:eastAsia="黑体"/>
          <w:sz w:val="28"/>
          <w:highlight w:val="none"/>
        </w:rPr>
        <w:t>第二章 投标人须知</w:t>
      </w:r>
      <w:bookmarkEnd w:id="10"/>
      <w:bookmarkEnd w:id="11"/>
    </w:p>
    <w:p w14:paraId="39DEFAAD">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一、总   则</w:t>
      </w:r>
    </w:p>
    <w:p w14:paraId="076CD28F">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1、定义</w:t>
      </w:r>
    </w:p>
    <w:p w14:paraId="33F365EB">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1.1 “投标人”</w:t>
      </w:r>
      <w:r>
        <w:rPr>
          <w:rFonts w:hint="eastAsia" w:ascii="宋体" w:hAnsi="宋体"/>
          <w:bCs/>
          <w:sz w:val="24"/>
          <w:szCs w:val="24"/>
          <w:highlight w:val="none"/>
        </w:rPr>
        <w:t>是指参加投标竞争，并符合招标文件规定资格条件的法人、其他组织或者自然人。</w:t>
      </w:r>
    </w:p>
    <w:p w14:paraId="15CE1868">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 xml:space="preserve">1.2 </w:t>
      </w:r>
      <w:r>
        <w:rPr>
          <w:rFonts w:hint="eastAsia" w:ascii="宋体" w:hAnsi="宋体"/>
          <w:bCs/>
          <w:sz w:val="24"/>
          <w:szCs w:val="24"/>
          <w:highlight w:val="none"/>
          <w:lang w:val="zh-CN"/>
        </w:rPr>
        <w:t>招标文件中的“法定代表人”是指投标人的营业执照中的“法定代表人”、“执行事务合伙人”、“经营者”。</w:t>
      </w:r>
    </w:p>
    <w:p w14:paraId="5E1DB4AD">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1.</w:t>
      </w:r>
      <w:r>
        <w:rPr>
          <w:rFonts w:hint="eastAsia" w:ascii="宋体" w:hAnsi="宋体"/>
          <w:bCs/>
          <w:sz w:val="24"/>
          <w:szCs w:val="24"/>
          <w:highlight w:val="none"/>
        </w:rPr>
        <w:t>3</w:t>
      </w:r>
      <w:r>
        <w:rPr>
          <w:rFonts w:hint="eastAsia" w:ascii="宋体" w:hAnsi="宋体"/>
          <w:bCs/>
          <w:sz w:val="24"/>
          <w:szCs w:val="24"/>
          <w:highlight w:val="none"/>
          <w:lang w:val="zh-CN"/>
        </w:rPr>
        <w:t xml:space="preserve"> “投标人签名”是指</w:t>
      </w:r>
      <w:r>
        <w:rPr>
          <w:rFonts w:hint="eastAsia" w:ascii="宋体" w:hAnsi="宋体"/>
          <w:bCs/>
          <w:sz w:val="24"/>
          <w:szCs w:val="24"/>
          <w:highlight w:val="none"/>
        </w:rPr>
        <w:t>法定代表人或法定代表人授权代表签字或盖章</w:t>
      </w:r>
      <w:r>
        <w:rPr>
          <w:rFonts w:hint="eastAsia" w:ascii="宋体" w:hAnsi="宋体"/>
          <w:bCs/>
          <w:sz w:val="24"/>
          <w:szCs w:val="24"/>
          <w:highlight w:val="none"/>
          <w:lang w:val="zh-CN"/>
        </w:rPr>
        <w:t>。</w:t>
      </w:r>
    </w:p>
    <w:p w14:paraId="0B9D96DA">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1.</w:t>
      </w:r>
      <w:r>
        <w:rPr>
          <w:rFonts w:hint="eastAsia" w:ascii="宋体" w:hAnsi="宋体"/>
          <w:bCs/>
          <w:sz w:val="24"/>
          <w:szCs w:val="24"/>
          <w:highlight w:val="none"/>
        </w:rPr>
        <w:t>4</w:t>
      </w:r>
      <w:r>
        <w:rPr>
          <w:rFonts w:hint="eastAsia" w:ascii="宋体" w:hAnsi="宋体"/>
          <w:bCs/>
          <w:sz w:val="24"/>
          <w:szCs w:val="24"/>
          <w:highlight w:val="none"/>
          <w:lang w:val="zh-CN"/>
        </w:rPr>
        <w:t xml:space="preserve"> “投标人名称（盖章）”及“投标人公章”</w:t>
      </w:r>
      <w:r>
        <w:rPr>
          <w:rFonts w:hint="eastAsia" w:ascii="宋体" w:hAnsi="宋体"/>
          <w:bCs/>
          <w:sz w:val="24"/>
          <w:szCs w:val="24"/>
          <w:highlight w:val="none"/>
        </w:rPr>
        <w:t>是指投标人的公章。</w:t>
      </w:r>
    </w:p>
    <w:p w14:paraId="0248EB98">
      <w:pPr>
        <w:numPr>
          <w:ilvl w:val="0"/>
          <w:numId w:val="0"/>
        </w:numPr>
        <w:spacing w:line="360" w:lineRule="auto"/>
        <w:ind w:left="480" w:leftChars="0"/>
        <w:rPr>
          <w:rFonts w:ascii="宋体" w:hAnsi="宋体"/>
          <w:bCs/>
          <w:sz w:val="24"/>
          <w:szCs w:val="24"/>
          <w:highlight w:val="none"/>
          <w:lang w:val="zh-CN"/>
        </w:rPr>
      </w:pPr>
      <w:r>
        <w:rPr>
          <w:rFonts w:hint="eastAsia" w:ascii="宋体" w:hAnsi="宋体"/>
          <w:bCs/>
          <w:sz w:val="24"/>
          <w:szCs w:val="24"/>
          <w:highlight w:val="none"/>
          <w:lang w:val="en-US" w:eastAsia="zh-CN"/>
        </w:rPr>
        <w:t xml:space="preserve">1.5 </w:t>
      </w:r>
      <w:r>
        <w:rPr>
          <w:rFonts w:hint="eastAsia" w:ascii="宋体" w:hAnsi="宋体"/>
          <w:bCs/>
          <w:sz w:val="24"/>
          <w:szCs w:val="24"/>
          <w:highlight w:val="none"/>
          <w:lang w:val="zh-CN"/>
        </w:rPr>
        <w:t>“产品”指本招标文件中所述产品及相关服务。</w:t>
      </w:r>
    </w:p>
    <w:p w14:paraId="0E42925D">
      <w:pPr>
        <w:spacing w:line="360" w:lineRule="auto"/>
        <w:ind w:left="482"/>
        <w:rPr>
          <w:rFonts w:ascii="宋体" w:hAnsi="宋体"/>
          <w:b/>
          <w:sz w:val="24"/>
          <w:szCs w:val="24"/>
          <w:highlight w:val="none"/>
        </w:rPr>
      </w:pPr>
      <w:r>
        <w:rPr>
          <w:rFonts w:hint="eastAsia" w:ascii="宋体" w:hAnsi="宋体"/>
          <w:b/>
          <w:sz w:val="24"/>
          <w:szCs w:val="24"/>
          <w:highlight w:val="none"/>
        </w:rPr>
        <w:t>2、投标费用</w:t>
      </w:r>
    </w:p>
    <w:p w14:paraId="4CD71BE4">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2.1 招标文件中的货币单位均为人民币元。</w:t>
      </w:r>
    </w:p>
    <w:p w14:paraId="7659122F">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2.2 投标人应自行承担所有与准备和参加投标有关的一切费用。</w:t>
      </w:r>
    </w:p>
    <w:p w14:paraId="0537E9D4">
      <w:pPr>
        <w:spacing w:line="360" w:lineRule="auto"/>
        <w:ind w:firstLine="480" w:firstLineChars="200"/>
        <w:rPr>
          <w:rFonts w:ascii="宋体" w:hAnsi="宋体" w:eastAsia="宋体" w:cs="Times New Roman"/>
          <w:b w:val="0"/>
          <w:bCs/>
          <w:color w:val="auto"/>
          <w:sz w:val="24"/>
          <w:szCs w:val="24"/>
        </w:rPr>
      </w:pPr>
      <w:r>
        <w:rPr>
          <w:rFonts w:hint="eastAsia" w:ascii="宋体" w:hAnsi="宋体" w:eastAsia="宋体" w:cs="Times New Roman"/>
          <w:b w:val="0"/>
          <w:bCs/>
          <w:color w:val="auto"/>
          <w:sz w:val="24"/>
          <w:szCs w:val="24"/>
        </w:rPr>
        <w:t>2.</w:t>
      </w:r>
      <w:r>
        <w:rPr>
          <w:rFonts w:hint="eastAsia" w:ascii="宋体" w:hAnsi="宋体" w:eastAsia="宋体"/>
          <w:b w:val="0"/>
          <w:bCs/>
          <w:color w:val="auto"/>
          <w:sz w:val="24"/>
          <w:szCs w:val="24"/>
          <w:lang w:val="en-US" w:eastAsia="zh-CN"/>
        </w:rPr>
        <w:t>3</w:t>
      </w:r>
      <w:r>
        <w:rPr>
          <w:rFonts w:hint="eastAsia" w:ascii="宋体" w:hAnsi="宋体" w:eastAsia="宋体" w:cs="Times New Roman"/>
          <w:b w:val="0"/>
          <w:bCs/>
          <w:color w:val="auto"/>
          <w:sz w:val="24"/>
          <w:szCs w:val="24"/>
        </w:rPr>
        <w:t>评审费收费标准:</w:t>
      </w:r>
      <w:r>
        <w:rPr>
          <w:rFonts w:ascii="宋体" w:hAnsi="宋体" w:eastAsia="宋体" w:cs="Times New Roman"/>
          <w:b w:val="0"/>
          <w:bCs/>
          <w:color w:val="auto"/>
          <w:sz w:val="24"/>
          <w:szCs w:val="24"/>
        </w:rPr>
        <w:t>参照苏财购[2016]48号文相关规定收取费用（请各</w:t>
      </w:r>
      <w:r>
        <w:rPr>
          <w:rFonts w:hint="eastAsia" w:ascii="宋体" w:hAnsi="宋体" w:eastAsia="宋体" w:cs="Times New Roman"/>
          <w:b w:val="0"/>
          <w:bCs/>
          <w:color w:val="auto"/>
          <w:sz w:val="24"/>
          <w:szCs w:val="24"/>
        </w:rPr>
        <w:t>投标人</w:t>
      </w:r>
      <w:r>
        <w:rPr>
          <w:rFonts w:ascii="宋体" w:hAnsi="宋体" w:eastAsia="宋体" w:cs="Times New Roman"/>
          <w:b w:val="0"/>
          <w:bCs/>
          <w:color w:val="auto"/>
          <w:sz w:val="24"/>
          <w:szCs w:val="24"/>
        </w:rPr>
        <w:t>把此费用考虑在内）。</w:t>
      </w:r>
    </w:p>
    <w:p w14:paraId="1A5674C6">
      <w:pPr>
        <w:spacing w:line="360" w:lineRule="auto"/>
        <w:ind w:firstLine="480" w:firstLineChars="200"/>
        <w:rPr>
          <w:rFonts w:ascii="宋体" w:hAnsi="宋体" w:eastAsia="宋体" w:cs="Times New Roman"/>
          <w:b w:val="0"/>
          <w:bCs/>
          <w:color w:val="auto"/>
          <w:sz w:val="24"/>
          <w:szCs w:val="24"/>
        </w:rPr>
      </w:pPr>
      <w:r>
        <w:rPr>
          <w:rFonts w:hint="eastAsia" w:ascii="宋体" w:hAnsi="宋体" w:eastAsia="宋体" w:cs="Times New Roman"/>
          <w:b w:val="0"/>
          <w:bCs/>
          <w:color w:val="auto"/>
          <w:sz w:val="24"/>
          <w:szCs w:val="24"/>
        </w:rPr>
        <w:t>2.</w:t>
      </w:r>
      <w:r>
        <w:rPr>
          <w:rFonts w:hint="eastAsia" w:ascii="宋体" w:hAnsi="宋体" w:eastAsia="宋体"/>
          <w:b w:val="0"/>
          <w:bCs/>
          <w:color w:val="auto"/>
          <w:sz w:val="24"/>
          <w:szCs w:val="24"/>
          <w:lang w:val="en-US" w:eastAsia="zh-CN"/>
        </w:rPr>
        <w:t>4</w:t>
      </w:r>
      <w:r>
        <w:rPr>
          <w:rFonts w:hint="eastAsia" w:ascii="宋体" w:hAnsi="宋体" w:eastAsia="宋体" w:cs="Times New Roman"/>
          <w:b w:val="0"/>
          <w:bCs/>
          <w:color w:val="auto"/>
          <w:sz w:val="24"/>
          <w:szCs w:val="24"/>
        </w:rPr>
        <w:t>开具</w:t>
      </w:r>
      <w:r>
        <w:rPr>
          <w:rFonts w:hint="eastAsia" w:ascii="宋体" w:hAnsi="宋体" w:eastAsia="宋体" w:cs="Times New Roman"/>
          <w:b w:val="0"/>
          <w:bCs/>
          <w:color w:val="auto"/>
          <w:sz w:val="24"/>
          <w:szCs w:val="24"/>
          <w:lang w:eastAsia="zh-CN"/>
        </w:rPr>
        <w:t>成交通知书</w:t>
      </w:r>
      <w:r>
        <w:rPr>
          <w:rFonts w:hint="eastAsia" w:ascii="宋体" w:hAnsi="宋体" w:eastAsia="宋体" w:cs="Times New Roman"/>
          <w:b w:val="0"/>
          <w:bCs/>
          <w:color w:val="auto"/>
          <w:sz w:val="24"/>
          <w:szCs w:val="24"/>
        </w:rPr>
        <w:t>时中标供应商应向采购代理机构一次性付清。</w:t>
      </w:r>
    </w:p>
    <w:p w14:paraId="6777D656">
      <w:pPr>
        <w:spacing w:line="360" w:lineRule="auto"/>
        <w:ind w:left="482"/>
        <w:rPr>
          <w:rFonts w:ascii="宋体" w:hAnsi="宋体"/>
          <w:b/>
          <w:sz w:val="24"/>
          <w:szCs w:val="24"/>
          <w:highlight w:val="none"/>
        </w:rPr>
      </w:pPr>
      <w:r>
        <w:rPr>
          <w:rFonts w:hint="eastAsia" w:ascii="宋体" w:hAnsi="宋体"/>
          <w:b/>
          <w:sz w:val="24"/>
          <w:szCs w:val="24"/>
          <w:highlight w:val="none"/>
        </w:rPr>
        <w:t>3、保密要求</w:t>
      </w:r>
    </w:p>
    <w:p w14:paraId="3AFD44D6">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3.1 采购各方当事人，对采购活动过程中获悉的国家秘密、商业秘密，应当依法予以保密。</w:t>
      </w:r>
    </w:p>
    <w:p w14:paraId="4E230D8B">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二、招标文件</w:t>
      </w:r>
    </w:p>
    <w:p w14:paraId="7C3E8422">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4、</w:t>
      </w:r>
      <w:r>
        <w:rPr>
          <w:rFonts w:hint="eastAsia" w:ascii="宋体" w:hAnsi="宋体"/>
          <w:b/>
          <w:sz w:val="24"/>
          <w:szCs w:val="24"/>
          <w:highlight w:val="none"/>
          <w:lang w:val="zh-CN"/>
        </w:rPr>
        <w:t>招标文件的组成</w:t>
      </w:r>
    </w:p>
    <w:p w14:paraId="66BD6FDE">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4.1 投标人可在 “</w:t>
      </w:r>
      <w:r>
        <w:rPr>
          <w:rFonts w:hint="eastAsia" w:ascii="宋体" w:hAnsi="宋体"/>
          <w:bCs/>
          <w:color w:val="0000FF"/>
          <w:sz w:val="24"/>
          <w:szCs w:val="24"/>
          <w:highlight w:val="none"/>
        </w:rPr>
        <w:t>宜兴市公共资源交易中心</w:t>
      </w:r>
      <w:r>
        <w:rPr>
          <w:rFonts w:hint="eastAsia" w:ascii="宋体" w:hAnsi="宋体"/>
          <w:bCs/>
          <w:sz w:val="24"/>
          <w:szCs w:val="24"/>
          <w:highlight w:val="none"/>
        </w:rPr>
        <w:t>”网站下载招标文件及有关资料。投标人须按招标文件要求提交全部资料并对招标文件各项内容作出实质性响应，否则投标无效。</w:t>
      </w:r>
    </w:p>
    <w:p w14:paraId="421D3191">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4.2 招标文件包括本文件目录所列全部内容及其附件，如有缺漏，</w:t>
      </w:r>
      <w:r>
        <w:rPr>
          <w:rFonts w:hint="eastAsia" w:hAnsi="宋体"/>
          <w:bCs/>
          <w:sz w:val="24"/>
          <w:szCs w:val="24"/>
          <w:highlight w:val="none"/>
        </w:rPr>
        <w:t>请立即与</w:t>
      </w:r>
      <w:r>
        <w:rPr>
          <w:rFonts w:hint="eastAsia" w:hAnsi="宋体"/>
          <w:bCs/>
          <w:sz w:val="24"/>
          <w:szCs w:val="24"/>
          <w:highlight w:val="none"/>
          <w:lang w:eastAsia="zh-CN"/>
        </w:rPr>
        <w:t>江苏益诚建设工程咨询有限公司</w:t>
      </w:r>
      <w:r>
        <w:rPr>
          <w:rFonts w:hint="eastAsia" w:hAnsi="宋体"/>
          <w:bCs/>
          <w:sz w:val="24"/>
          <w:szCs w:val="24"/>
          <w:highlight w:val="none"/>
        </w:rPr>
        <w:t>联系解决。</w:t>
      </w:r>
    </w:p>
    <w:p w14:paraId="58D24C1A">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4.3 招标文件如与招标公告有不一致的地方，以招标文件为准。</w:t>
      </w:r>
    </w:p>
    <w:p w14:paraId="54E33487">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5、</w:t>
      </w:r>
      <w:r>
        <w:rPr>
          <w:rFonts w:hint="eastAsia" w:ascii="宋体" w:hAnsi="宋体"/>
          <w:b/>
          <w:sz w:val="24"/>
          <w:szCs w:val="24"/>
          <w:highlight w:val="none"/>
          <w:lang w:val="zh-CN"/>
        </w:rPr>
        <w:t>招标文件的解释</w:t>
      </w:r>
    </w:p>
    <w:p w14:paraId="1DA30E76">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5.1 本文件“</w:t>
      </w:r>
      <w:bookmarkStart w:id="12" w:name="OLE_LINK21"/>
      <w:r>
        <w:rPr>
          <w:rFonts w:hint="eastAsia" w:ascii="宋体" w:hAnsi="宋体"/>
          <w:bCs/>
          <w:sz w:val="24"/>
          <w:szCs w:val="24"/>
          <w:highlight w:val="none"/>
        </w:rPr>
        <w:t>第三章 评标方法和标准</w:t>
      </w:r>
      <w:bookmarkEnd w:id="12"/>
      <w:r>
        <w:rPr>
          <w:rFonts w:hint="eastAsia" w:ascii="宋体" w:hAnsi="宋体"/>
          <w:bCs/>
          <w:sz w:val="24"/>
          <w:szCs w:val="24"/>
          <w:highlight w:val="none"/>
        </w:rPr>
        <w:t>”和“第四章 项目技术要求和有关说明”由</w:t>
      </w:r>
      <w:bookmarkStart w:id="13" w:name="OLE_LINK13"/>
      <w:r>
        <w:rPr>
          <w:rFonts w:hint="eastAsia" w:ascii="宋体" w:hAnsi="宋体"/>
          <w:bCs/>
          <w:sz w:val="24"/>
          <w:szCs w:val="24"/>
          <w:highlight w:val="none"/>
        </w:rPr>
        <w:t>宜兴市公用投资管理有限公司负责解释</w:t>
      </w:r>
      <w:bookmarkEnd w:id="13"/>
      <w:r>
        <w:rPr>
          <w:rFonts w:hint="eastAsia" w:ascii="宋体" w:hAnsi="宋体"/>
          <w:bCs/>
          <w:sz w:val="24"/>
          <w:szCs w:val="24"/>
          <w:highlight w:val="none"/>
        </w:rPr>
        <w:t>，其他部分由宜兴市公用投资管理有限公司和</w:t>
      </w:r>
      <w:r>
        <w:rPr>
          <w:rFonts w:hint="eastAsia" w:hAnsi="宋体"/>
          <w:bCs/>
          <w:sz w:val="24"/>
          <w:szCs w:val="24"/>
          <w:highlight w:val="none"/>
          <w:lang w:eastAsia="zh-CN"/>
        </w:rPr>
        <w:t>江苏益诚建设工程咨询有限公司</w:t>
      </w:r>
      <w:r>
        <w:rPr>
          <w:rFonts w:hint="eastAsia" w:ascii="宋体" w:hAnsi="宋体"/>
          <w:bCs/>
          <w:sz w:val="24"/>
          <w:szCs w:val="24"/>
          <w:highlight w:val="none"/>
        </w:rPr>
        <w:t>负责解释。</w:t>
      </w:r>
    </w:p>
    <w:p w14:paraId="2D2E6CFA">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6、</w:t>
      </w:r>
      <w:r>
        <w:rPr>
          <w:rFonts w:hint="eastAsia" w:ascii="宋体" w:hAnsi="宋体"/>
          <w:b/>
          <w:sz w:val="24"/>
          <w:szCs w:val="24"/>
          <w:highlight w:val="none"/>
          <w:lang w:val="zh-CN"/>
        </w:rPr>
        <w:t>招标文件的澄清、修改</w:t>
      </w:r>
    </w:p>
    <w:p w14:paraId="2167D793">
      <w:pPr>
        <w:spacing w:line="360" w:lineRule="auto"/>
        <w:ind w:firstLine="480" w:firstLineChars="200"/>
        <w:rPr>
          <w:rFonts w:ascii="宋体"/>
          <w:sz w:val="24"/>
          <w:szCs w:val="21"/>
          <w:highlight w:val="none"/>
          <w:lang w:val="zh-CN"/>
        </w:rPr>
      </w:pPr>
      <w:r>
        <w:rPr>
          <w:rFonts w:hint="eastAsia" w:ascii="宋体" w:hAnsi="宋体"/>
          <w:bCs/>
          <w:sz w:val="24"/>
          <w:szCs w:val="24"/>
          <w:highlight w:val="none"/>
        </w:rPr>
        <w:t xml:space="preserve">6.1 </w:t>
      </w:r>
      <w:r>
        <w:rPr>
          <w:rFonts w:hint="eastAsia" w:ascii="宋体" w:hAnsi="宋体" w:cs="宋体"/>
          <w:sz w:val="24"/>
          <w:szCs w:val="24"/>
          <w:highlight w:val="none"/>
        </w:rPr>
        <w:t>采购人或者采购代理机构</w:t>
      </w:r>
      <w:r>
        <w:rPr>
          <w:rFonts w:hint="eastAsia" w:ascii="宋体"/>
          <w:sz w:val="24"/>
          <w:szCs w:val="21"/>
          <w:highlight w:val="none"/>
          <w:lang w:val="zh-CN"/>
        </w:rPr>
        <w:t>对</w:t>
      </w:r>
      <w:r>
        <w:rPr>
          <w:rFonts w:hint="eastAsia" w:ascii="宋体" w:hAnsi="宋体"/>
          <w:bCs/>
          <w:sz w:val="24"/>
          <w:szCs w:val="24"/>
          <w:highlight w:val="none"/>
          <w:lang w:val="zh-CN"/>
        </w:rPr>
        <w:t>已</w:t>
      </w:r>
      <w:r>
        <w:rPr>
          <w:rFonts w:hint="eastAsia" w:ascii="宋体"/>
          <w:sz w:val="24"/>
          <w:szCs w:val="21"/>
          <w:highlight w:val="none"/>
          <w:lang w:val="zh-CN"/>
        </w:rPr>
        <w:t>发出的招标文件进行必要澄清或者修改的，将在招标文件要求提交投标文件截止时间</w:t>
      </w:r>
      <w:r>
        <w:rPr>
          <w:rFonts w:hint="eastAsia" w:ascii="宋体"/>
          <w:b/>
          <w:bCs/>
          <w:iCs/>
          <w:sz w:val="24"/>
          <w:szCs w:val="21"/>
          <w:highlight w:val="none"/>
          <w:u w:val="single"/>
        </w:rPr>
        <w:t>15</w:t>
      </w:r>
      <w:r>
        <w:rPr>
          <w:rFonts w:hint="eastAsia" w:ascii="宋体"/>
          <w:b/>
          <w:bCs/>
          <w:iCs/>
          <w:sz w:val="24"/>
          <w:szCs w:val="21"/>
          <w:highlight w:val="none"/>
          <w:u w:val="single"/>
          <w:lang w:val="zh-CN"/>
        </w:rPr>
        <w:t>日</w:t>
      </w:r>
      <w:r>
        <w:rPr>
          <w:rFonts w:hint="eastAsia" w:ascii="宋体"/>
          <w:sz w:val="24"/>
          <w:szCs w:val="21"/>
          <w:highlight w:val="none"/>
          <w:lang w:val="zh-CN"/>
        </w:rPr>
        <w:t>前</w:t>
      </w:r>
      <w:r>
        <w:rPr>
          <w:rFonts w:hint="eastAsia" w:ascii="宋体"/>
          <w:sz w:val="24"/>
          <w:szCs w:val="21"/>
          <w:highlight w:val="none"/>
        </w:rPr>
        <w:t>，</w:t>
      </w:r>
      <w:r>
        <w:rPr>
          <w:rFonts w:hint="eastAsia" w:ascii="宋体"/>
          <w:sz w:val="24"/>
          <w:szCs w:val="21"/>
          <w:highlight w:val="none"/>
          <w:lang w:val="zh-CN"/>
        </w:rPr>
        <w:t>在原招标公告媒体发布更正公告。不足</w:t>
      </w:r>
      <w:r>
        <w:rPr>
          <w:rFonts w:hint="eastAsia" w:ascii="宋体"/>
          <w:b/>
          <w:bCs/>
          <w:iCs/>
          <w:sz w:val="24"/>
          <w:szCs w:val="21"/>
          <w:highlight w:val="none"/>
          <w:u w:val="single"/>
        </w:rPr>
        <w:t>15</w:t>
      </w:r>
      <w:r>
        <w:rPr>
          <w:rFonts w:hint="eastAsia" w:ascii="宋体"/>
          <w:b/>
          <w:bCs/>
          <w:iCs/>
          <w:sz w:val="24"/>
          <w:szCs w:val="21"/>
          <w:highlight w:val="none"/>
          <w:u w:val="single"/>
          <w:lang w:val="zh-CN"/>
        </w:rPr>
        <w:t>日</w:t>
      </w:r>
      <w:r>
        <w:rPr>
          <w:rFonts w:hint="eastAsia" w:ascii="宋体"/>
          <w:sz w:val="24"/>
          <w:szCs w:val="21"/>
          <w:highlight w:val="none"/>
        </w:rPr>
        <w:t>的，</w:t>
      </w:r>
      <w:r>
        <w:rPr>
          <w:rFonts w:hint="eastAsia" w:ascii="宋体" w:hAnsi="宋体" w:cs="宋体"/>
          <w:sz w:val="24"/>
          <w:szCs w:val="24"/>
          <w:highlight w:val="none"/>
        </w:rPr>
        <w:t>采购人或者采购代理机构有权决定延长投标文件的截止时间和开标时间，</w:t>
      </w:r>
      <w:r>
        <w:rPr>
          <w:rFonts w:hint="eastAsia" w:ascii="宋体"/>
          <w:sz w:val="24"/>
          <w:szCs w:val="21"/>
          <w:highlight w:val="none"/>
          <w:lang w:val="zh-CN"/>
        </w:rPr>
        <w:t>该澄清或者修改的内容为招标文件的组成部分。</w:t>
      </w:r>
    </w:p>
    <w:p w14:paraId="70E9D935">
      <w:pPr>
        <w:spacing w:line="360" w:lineRule="auto"/>
        <w:ind w:firstLine="480" w:firstLineChars="200"/>
        <w:rPr>
          <w:rFonts w:ascii="宋体" w:hAnsi="宋体"/>
          <w:sz w:val="24"/>
          <w:szCs w:val="21"/>
          <w:highlight w:val="none"/>
          <w:lang w:val="zh-CN"/>
        </w:rPr>
      </w:pPr>
      <w:r>
        <w:rPr>
          <w:rFonts w:hint="eastAsia" w:ascii="宋体" w:hAnsi="宋体"/>
          <w:sz w:val="24"/>
          <w:szCs w:val="21"/>
          <w:highlight w:val="none"/>
        </w:rPr>
        <w:t xml:space="preserve">6.2 </w:t>
      </w:r>
      <w:r>
        <w:rPr>
          <w:rFonts w:hint="eastAsia" w:ascii="宋体" w:hAnsi="宋体"/>
          <w:sz w:val="24"/>
          <w:szCs w:val="21"/>
          <w:highlight w:val="none"/>
          <w:lang w:val="zh-CN"/>
        </w:rPr>
        <w:t>投标人应在投标截止时间前关注原采购信息发布媒体上有关本招标项目有无变更公告。如投标人未及时关注，由此造成的一切损失由投标人自行承担。</w:t>
      </w:r>
    </w:p>
    <w:p w14:paraId="636C2A5B">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三、投标文件</w:t>
      </w:r>
    </w:p>
    <w:p w14:paraId="39224E00">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7、投标文件的组成。</w:t>
      </w:r>
    </w:p>
    <w:p w14:paraId="4ACA8257">
      <w:pPr>
        <w:numPr>
          <w:ilvl w:val="0"/>
          <w:numId w:val="1"/>
        </w:numPr>
        <w:tabs>
          <w:tab w:val="left" w:pos="255"/>
        </w:tabs>
        <w:spacing w:line="360" w:lineRule="auto"/>
        <w:rPr>
          <w:rFonts w:ascii="宋体" w:hAnsi="宋体"/>
          <w:sz w:val="24"/>
          <w:szCs w:val="21"/>
          <w:highlight w:val="none"/>
          <w:lang w:val="zh-CN"/>
        </w:rPr>
      </w:pPr>
      <w:bookmarkStart w:id="14" w:name="OLE_LINK51"/>
      <w:r>
        <w:rPr>
          <w:rFonts w:hint="eastAsia" w:ascii="宋体" w:hAnsi="宋体"/>
          <w:sz w:val="24"/>
          <w:szCs w:val="21"/>
          <w:highlight w:val="none"/>
          <w:lang w:val="zh-CN"/>
        </w:rPr>
        <w:t>投标函（</w:t>
      </w:r>
      <w:r>
        <w:rPr>
          <w:rFonts w:hint="eastAsia" w:ascii="宋体" w:hAnsi="宋体"/>
          <w:sz w:val="24"/>
          <w:szCs w:val="24"/>
          <w:highlight w:val="none"/>
        </w:rPr>
        <w:t>格式见附件</w:t>
      </w:r>
      <w:r>
        <w:rPr>
          <w:rFonts w:hint="eastAsia" w:ascii="宋体" w:hAnsi="宋体"/>
          <w:sz w:val="24"/>
          <w:szCs w:val="21"/>
          <w:highlight w:val="none"/>
          <w:lang w:val="zh-CN"/>
        </w:rPr>
        <w:t>）</w:t>
      </w:r>
    </w:p>
    <w:p w14:paraId="393D1A99">
      <w:pPr>
        <w:numPr>
          <w:ilvl w:val="0"/>
          <w:numId w:val="1"/>
        </w:numPr>
        <w:tabs>
          <w:tab w:val="left" w:pos="255"/>
        </w:tabs>
        <w:spacing w:line="360" w:lineRule="auto"/>
        <w:rPr>
          <w:rFonts w:ascii="宋体" w:hAnsi="宋体"/>
          <w:sz w:val="24"/>
          <w:szCs w:val="21"/>
          <w:highlight w:val="none"/>
          <w:lang w:val="zh-CN"/>
        </w:rPr>
      </w:pPr>
      <w:r>
        <w:rPr>
          <w:rFonts w:hint="eastAsia" w:ascii="宋体" w:hAnsi="宋体"/>
          <w:sz w:val="24"/>
          <w:szCs w:val="21"/>
          <w:highlight w:val="none"/>
          <w:lang w:val="zh-CN"/>
        </w:rPr>
        <w:t>报价文件：</w:t>
      </w:r>
    </w:p>
    <w:p w14:paraId="00E84EBC">
      <w:pPr>
        <w:numPr>
          <w:ilvl w:val="0"/>
          <w:numId w:val="2"/>
        </w:numPr>
        <w:tabs>
          <w:tab w:val="left" w:pos="0"/>
          <w:tab w:val="left" w:pos="255"/>
        </w:tabs>
        <w:spacing w:line="360" w:lineRule="auto"/>
        <w:ind w:firstLine="480" w:firstLineChars="200"/>
        <w:rPr>
          <w:rFonts w:ascii="宋体" w:hAnsi="宋体"/>
          <w:sz w:val="24"/>
          <w:szCs w:val="21"/>
          <w:highlight w:val="none"/>
          <w:lang w:val="zh-CN"/>
        </w:rPr>
      </w:pPr>
      <w:r>
        <w:rPr>
          <w:rFonts w:hint="eastAsia" w:ascii="宋体" w:hAnsi="宋体"/>
          <w:sz w:val="24"/>
          <w:szCs w:val="24"/>
          <w:highlight w:val="none"/>
          <w:lang w:val="zh-CN"/>
        </w:rPr>
        <w:t>开标一览表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14:paraId="2E1F2313">
      <w:pPr>
        <w:numPr>
          <w:ilvl w:val="0"/>
          <w:numId w:val="2"/>
        </w:numPr>
        <w:tabs>
          <w:tab w:val="left" w:pos="0"/>
          <w:tab w:val="left" w:pos="255"/>
        </w:tabs>
        <w:spacing w:line="360" w:lineRule="auto"/>
        <w:ind w:firstLine="480" w:firstLineChars="200"/>
        <w:rPr>
          <w:rFonts w:ascii="宋体" w:hAnsi="宋体"/>
          <w:sz w:val="24"/>
          <w:szCs w:val="21"/>
          <w:highlight w:val="none"/>
          <w:lang w:val="zh-CN"/>
        </w:rPr>
      </w:pPr>
      <w:r>
        <w:rPr>
          <w:rFonts w:hint="eastAsia" w:ascii="宋体" w:hAnsi="宋体"/>
          <w:sz w:val="24"/>
          <w:szCs w:val="24"/>
          <w:highlight w:val="none"/>
          <w:lang w:val="zh-CN"/>
        </w:rPr>
        <w:t>投标明细报价表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14:paraId="71744AE2">
      <w:pPr>
        <w:numPr>
          <w:ilvl w:val="0"/>
          <w:numId w:val="1"/>
        </w:numPr>
        <w:tabs>
          <w:tab w:val="left" w:pos="255"/>
        </w:tabs>
        <w:spacing w:line="360" w:lineRule="auto"/>
        <w:rPr>
          <w:rFonts w:ascii="宋体" w:hAnsi="宋体"/>
          <w:sz w:val="24"/>
          <w:szCs w:val="24"/>
          <w:highlight w:val="none"/>
        </w:rPr>
      </w:pPr>
      <w:bookmarkStart w:id="15" w:name="OLE_LINK20"/>
      <w:r>
        <w:rPr>
          <w:rFonts w:hint="eastAsia" w:ascii="宋体" w:hAnsi="宋体"/>
          <w:sz w:val="24"/>
          <w:szCs w:val="24"/>
          <w:highlight w:val="none"/>
        </w:rPr>
        <w:t>资格证明文件</w:t>
      </w:r>
      <w:bookmarkEnd w:id="15"/>
      <w:r>
        <w:rPr>
          <w:rFonts w:hint="eastAsia" w:ascii="宋体" w:hAnsi="宋体"/>
          <w:sz w:val="24"/>
          <w:szCs w:val="24"/>
          <w:highlight w:val="none"/>
        </w:rPr>
        <w:t>：</w:t>
      </w:r>
    </w:p>
    <w:p w14:paraId="7B20DF4B">
      <w:pPr>
        <w:numPr>
          <w:ilvl w:val="0"/>
          <w:numId w:val="3"/>
        </w:numPr>
        <w:tabs>
          <w:tab w:val="left" w:pos="0"/>
          <w:tab w:val="left" w:pos="255"/>
        </w:tabs>
        <w:spacing w:line="360" w:lineRule="auto"/>
        <w:ind w:firstLine="480" w:firstLineChars="200"/>
        <w:rPr>
          <w:rFonts w:ascii="宋体" w:hAnsi="宋体"/>
          <w:sz w:val="24"/>
          <w:szCs w:val="24"/>
          <w:highlight w:val="none"/>
        </w:rPr>
      </w:pPr>
      <w:r>
        <w:rPr>
          <w:rFonts w:hint="eastAsia" w:ascii="宋体" w:hAnsi="宋体"/>
          <w:sz w:val="24"/>
          <w:szCs w:val="24"/>
          <w:highlight w:val="none"/>
        </w:rPr>
        <w:t>关于资格的声明函（附法定代表人身份证复印件）（格式见附件）；</w:t>
      </w:r>
    </w:p>
    <w:p w14:paraId="1FF59ADF">
      <w:pPr>
        <w:numPr>
          <w:ilvl w:val="0"/>
          <w:numId w:val="3"/>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sz w:val="24"/>
          <w:szCs w:val="24"/>
          <w:highlight w:val="none"/>
        </w:rPr>
        <w:t>投标人法定代表人授权委托书</w:t>
      </w:r>
      <w:r>
        <w:rPr>
          <w:rFonts w:hint="eastAsia" w:ascii="宋体" w:hAnsi="宋体"/>
          <w:sz w:val="24"/>
          <w:szCs w:val="21"/>
          <w:highlight w:val="none"/>
        </w:rPr>
        <w:t>及被</w:t>
      </w:r>
      <w:r>
        <w:rPr>
          <w:rFonts w:hint="eastAsia" w:ascii="宋体" w:hAnsi="宋体"/>
          <w:sz w:val="24"/>
          <w:szCs w:val="24"/>
          <w:highlight w:val="none"/>
        </w:rPr>
        <w:t>授权代表</w:t>
      </w:r>
      <w:r>
        <w:rPr>
          <w:rFonts w:hint="eastAsia" w:ascii="宋体" w:hAnsi="宋体"/>
          <w:sz w:val="24"/>
          <w:szCs w:val="21"/>
          <w:highlight w:val="none"/>
        </w:rPr>
        <w:t>的身份证复印件</w:t>
      </w:r>
      <w:r>
        <w:rPr>
          <w:rFonts w:hint="eastAsia" w:ascii="宋体" w:hAnsi="宋体"/>
          <w:sz w:val="24"/>
          <w:szCs w:val="24"/>
          <w:highlight w:val="none"/>
        </w:rPr>
        <w:t>（格式见附件，法定代表人亲自参加投标的除外）</w:t>
      </w:r>
      <w:r>
        <w:rPr>
          <w:rFonts w:hint="eastAsia" w:ascii="宋体" w:hAnsi="宋体"/>
          <w:color w:val="auto"/>
          <w:sz w:val="24"/>
          <w:szCs w:val="24"/>
          <w:highlight w:val="none"/>
        </w:rPr>
        <w:t>；</w:t>
      </w:r>
      <w:r>
        <w:rPr>
          <w:rFonts w:hint="eastAsia" w:ascii="宋体" w:hAnsi="宋体"/>
          <w:b/>
          <w:bCs/>
          <w:color w:val="auto"/>
          <w:sz w:val="24"/>
          <w:szCs w:val="24"/>
          <w:highlight w:val="none"/>
        </w:rPr>
        <w:t>投标时必须提交被</w:t>
      </w:r>
      <w:r>
        <w:rPr>
          <w:rFonts w:ascii="宋体" w:hAnsi="宋体"/>
          <w:b/>
          <w:bCs/>
          <w:color w:val="auto"/>
          <w:sz w:val="24"/>
          <w:szCs w:val="24"/>
          <w:highlight w:val="none"/>
        </w:rPr>
        <w:t>授权</w:t>
      </w:r>
      <w:r>
        <w:rPr>
          <w:rFonts w:hint="eastAsia" w:ascii="宋体" w:hAnsi="宋体"/>
          <w:b/>
          <w:bCs/>
          <w:color w:val="auto"/>
          <w:sz w:val="24"/>
          <w:szCs w:val="24"/>
          <w:highlight w:val="none"/>
        </w:rPr>
        <w:t>代表的身份证</w:t>
      </w:r>
      <w:r>
        <w:rPr>
          <w:rFonts w:ascii="宋体" w:hAnsi="宋体"/>
          <w:b/>
          <w:bCs/>
          <w:color w:val="auto"/>
          <w:sz w:val="24"/>
          <w:szCs w:val="24"/>
          <w:highlight w:val="none"/>
        </w:rPr>
        <w:t>原件，如是法人来提供法人的身份证原件</w:t>
      </w:r>
    </w:p>
    <w:p w14:paraId="652BAC13">
      <w:pPr>
        <w:numPr>
          <w:ilvl w:val="0"/>
          <w:numId w:val="3"/>
        </w:numPr>
        <w:tabs>
          <w:tab w:val="left" w:pos="420"/>
          <w:tab w:val="left" w:pos="945"/>
          <w:tab w:val="left" w:pos="1155"/>
        </w:tabs>
        <w:spacing w:line="360" w:lineRule="auto"/>
        <w:ind w:firstLine="480"/>
        <w:rPr>
          <w:color w:val="auto"/>
        </w:rPr>
      </w:pPr>
      <w:r>
        <w:rPr>
          <w:rFonts w:hint="eastAsia" w:ascii="宋体" w:hAnsi="宋体"/>
          <w:color w:val="auto"/>
          <w:sz w:val="24"/>
          <w:szCs w:val="24"/>
          <w:highlight w:val="none"/>
        </w:rPr>
        <w:t>具有独立承担民事责任能力的专业生产厂家</w:t>
      </w:r>
      <w:r>
        <w:rPr>
          <w:rFonts w:hint="eastAsia" w:ascii="宋体" w:hAnsi="宋体"/>
          <w:color w:val="auto"/>
          <w:sz w:val="24"/>
          <w:szCs w:val="21"/>
          <w:highlight w:val="none"/>
          <w:lang w:val="zh-CN"/>
        </w:rPr>
        <w:t>营业执照或法人（登记）证书复印件；(</w:t>
      </w:r>
      <w:r>
        <w:rPr>
          <w:rFonts w:hint="eastAsia" w:ascii="宋体" w:hAnsi="宋体"/>
          <w:b/>
          <w:bCs/>
          <w:color w:val="auto"/>
          <w:sz w:val="24"/>
          <w:szCs w:val="24"/>
          <w:highlight w:val="none"/>
        </w:rPr>
        <w:t>投标时必须提交相应原件或公证件）</w:t>
      </w:r>
    </w:p>
    <w:p w14:paraId="6D599757">
      <w:pPr>
        <w:numPr>
          <w:ilvl w:val="0"/>
          <w:numId w:val="3"/>
        </w:numPr>
        <w:tabs>
          <w:tab w:val="left" w:pos="420"/>
          <w:tab w:val="left" w:pos="945"/>
          <w:tab w:val="left" w:pos="1155"/>
        </w:tabs>
        <w:spacing w:line="360" w:lineRule="auto"/>
        <w:ind w:firstLine="480"/>
        <w:rPr>
          <w:color w:val="auto"/>
        </w:rPr>
      </w:pPr>
      <w:r>
        <w:rPr>
          <w:rFonts w:hint="eastAsia" w:ascii="宋体" w:hAnsi="宋体" w:eastAsia="宋体" w:cs="宋体"/>
          <w:b/>
          <w:color w:val="auto"/>
          <w:sz w:val="24"/>
          <w:szCs w:val="24"/>
          <w:highlight w:val="none"/>
          <w:lang w:val="zh-CN"/>
        </w:rPr>
        <w:t>具有良好的商业信誉和健全的财务会计制度：</w:t>
      </w:r>
      <w:r>
        <w:rPr>
          <w:rFonts w:hint="eastAsia" w:ascii="Times New Roman" w:hAnsi="Times New Roman" w:eastAsia="宋体" w:cs="Times New Roman"/>
          <w:color w:val="auto"/>
          <w:sz w:val="24"/>
          <w:szCs w:val="24"/>
          <w:highlight w:val="none"/>
          <w:lang w:val="zh-CN"/>
        </w:rPr>
        <w:t>具有良好的商业信誉和健全的财务会计制度：银行出具的资信证明（若供应商为法人的须提供其基本开户银行出具的资信证明）或供应商近</w:t>
      </w:r>
      <w:r>
        <w:rPr>
          <w:rFonts w:hint="eastAsia" w:ascii="Times New Roman" w:hAnsi="Times New Roman" w:eastAsia="宋体" w:cs="Times New Roman"/>
          <w:color w:val="auto"/>
          <w:sz w:val="24"/>
          <w:szCs w:val="24"/>
          <w:highlight w:val="none"/>
          <w:lang w:val="en-US" w:eastAsia="zh-CN"/>
        </w:rPr>
        <w:t>十二</w:t>
      </w:r>
      <w:r>
        <w:rPr>
          <w:rFonts w:hint="eastAsia" w:ascii="Times New Roman" w:hAnsi="Times New Roman" w:eastAsia="宋体" w:cs="Times New Roman"/>
          <w:color w:val="auto"/>
          <w:sz w:val="24"/>
          <w:szCs w:val="24"/>
          <w:highlight w:val="none"/>
          <w:lang w:val="zh-CN"/>
        </w:rPr>
        <w:t>个月中任意一个月份的财务状况报告（资产负债表和利润表）或由会计师事务所出具的近两年中任意一个年度的审计报告和所附已审财务报告复印件</w:t>
      </w:r>
      <w:r>
        <w:rPr>
          <w:rFonts w:hint="eastAsia" w:ascii="宋体" w:hAnsi="宋体" w:eastAsia="宋体" w:cs="宋体"/>
          <w:bCs/>
          <w:color w:val="auto"/>
          <w:sz w:val="24"/>
          <w:szCs w:val="24"/>
          <w:highlight w:val="none"/>
          <w:lang w:val="zh-CN"/>
        </w:rPr>
        <w:t>；</w:t>
      </w:r>
    </w:p>
    <w:p w14:paraId="1808F3DB">
      <w:pPr>
        <w:numPr>
          <w:ilvl w:val="0"/>
          <w:numId w:val="3"/>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color w:val="auto"/>
          <w:sz w:val="24"/>
          <w:szCs w:val="24"/>
          <w:highlight w:val="none"/>
        </w:rPr>
        <w:t>投标人依法缴纳</w:t>
      </w:r>
      <w:bookmarkStart w:id="16" w:name="OLE_LINK181"/>
      <w:r>
        <w:rPr>
          <w:rFonts w:hint="eastAsia" w:ascii="宋体" w:hAnsi="宋体"/>
          <w:color w:val="auto"/>
          <w:sz w:val="24"/>
          <w:szCs w:val="24"/>
          <w:highlight w:val="none"/>
        </w:rPr>
        <w:t>近十二个月</w:t>
      </w:r>
      <w:bookmarkEnd w:id="16"/>
      <w:r>
        <w:rPr>
          <w:rFonts w:hint="eastAsia" w:ascii="宋体" w:hAnsi="宋体"/>
          <w:color w:val="auto"/>
          <w:sz w:val="24"/>
          <w:szCs w:val="24"/>
          <w:highlight w:val="none"/>
        </w:rPr>
        <w:t>中任意一个月份税收的相关材料（提供相关</w:t>
      </w:r>
      <w:r>
        <w:rPr>
          <w:rFonts w:hint="eastAsia" w:ascii="宋体" w:hAnsi="宋体"/>
          <w:sz w:val="24"/>
          <w:szCs w:val="24"/>
          <w:highlight w:val="none"/>
        </w:rPr>
        <w:t>主管部门证明或银行代扣证明）复印件；</w:t>
      </w:r>
    </w:p>
    <w:p w14:paraId="3635162B">
      <w:pPr>
        <w:numPr>
          <w:ilvl w:val="0"/>
          <w:numId w:val="3"/>
        </w:numPr>
        <w:tabs>
          <w:tab w:val="left" w:pos="420"/>
          <w:tab w:val="left" w:pos="945"/>
          <w:tab w:val="left" w:pos="1155"/>
        </w:tabs>
        <w:spacing w:line="360" w:lineRule="auto"/>
        <w:ind w:firstLine="480"/>
        <w:rPr>
          <w:rFonts w:ascii="宋体" w:hAnsi="宋体" w:eastAsia="宋体" w:cs="宋体"/>
          <w:sz w:val="24"/>
          <w:szCs w:val="24"/>
          <w:highlight w:val="none"/>
        </w:rPr>
      </w:pPr>
      <w:r>
        <w:rPr>
          <w:rFonts w:hint="eastAsia" w:ascii="宋体" w:hAnsi="宋体" w:cs="宋体"/>
          <w:sz w:val="24"/>
          <w:szCs w:val="24"/>
          <w:highlight w:val="none"/>
        </w:rPr>
        <w:t>投标人依法缴纳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p w14:paraId="3E025121">
      <w:pPr>
        <w:numPr>
          <w:ilvl w:val="0"/>
          <w:numId w:val="3"/>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14:paraId="6512D7EE">
      <w:pPr>
        <w:numPr>
          <w:ilvl w:val="0"/>
          <w:numId w:val="3"/>
        </w:numPr>
        <w:tabs>
          <w:tab w:val="left" w:pos="420"/>
          <w:tab w:val="left" w:pos="945"/>
          <w:tab w:val="left" w:pos="1155"/>
        </w:tabs>
        <w:spacing w:line="360" w:lineRule="auto"/>
        <w:ind w:firstLine="482" w:firstLineChars="200"/>
        <w:rPr>
          <w:rFonts w:ascii="宋体" w:hAnsi="宋体" w:cs="宋体"/>
          <w:sz w:val="24"/>
          <w:szCs w:val="24"/>
          <w:highlight w:val="none"/>
        </w:rPr>
      </w:pPr>
      <w:r>
        <w:rPr>
          <w:rFonts w:hint="eastAsia" w:ascii="宋体" w:hAnsi="宋体"/>
          <w:b/>
          <w:sz w:val="24"/>
          <w:szCs w:val="24"/>
          <w:highlight w:val="none"/>
        </w:rPr>
        <w:t>良好的信用记录：</w:t>
      </w:r>
      <w:r>
        <w:rPr>
          <w:rFonts w:hint="eastAsia" w:ascii="宋体" w:hAnsi="宋体"/>
          <w:bCs/>
          <w:sz w:val="24"/>
          <w:szCs w:val="24"/>
          <w:highlight w:val="none"/>
        </w:rPr>
        <w:t>未被“</w:t>
      </w:r>
      <w:r>
        <w:rPr>
          <w:rFonts w:hint="eastAsia" w:ascii="宋体" w:hAnsi="宋体"/>
          <w:bCs/>
          <w:sz w:val="24"/>
          <w:szCs w:val="24"/>
          <w:highlight w:val="none"/>
          <w:lang w:val="zh-CN"/>
        </w:rPr>
        <w:t>信用中国</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（www.creditchina.gov.cn）</w:t>
      </w:r>
      <w:r>
        <w:rPr>
          <w:rFonts w:hint="eastAsia" w:ascii="宋体" w:hAnsi="宋体"/>
          <w:bCs/>
          <w:sz w:val="24"/>
          <w:szCs w:val="24"/>
          <w:highlight w:val="none"/>
          <w:lang w:val="zh-CN"/>
        </w:rPr>
        <w:t>列入失信被执行人、重大税收违法案件当事人名单、政府采购严重违法失信名单</w:t>
      </w:r>
      <w:r>
        <w:rPr>
          <w:rFonts w:hint="eastAsia" w:ascii="宋体" w:hAnsi="宋体"/>
          <w:bCs/>
          <w:sz w:val="24"/>
          <w:szCs w:val="24"/>
          <w:highlight w:val="none"/>
        </w:rPr>
        <w:t>，</w:t>
      </w:r>
      <w:r>
        <w:rPr>
          <w:rFonts w:hint="eastAsia" w:ascii="宋体" w:hAnsi="宋体"/>
          <w:bCs/>
          <w:sz w:val="24"/>
          <w:szCs w:val="24"/>
          <w:highlight w:val="none"/>
          <w:lang w:val="zh-CN"/>
        </w:rPr>
        <w:t>或未在</w:t>
      </w:r>
      <w:r>
        <w:rPr>
          <w:rFonts w:hint="eastAsia" w:ascii="宋体" w:hAnsi="宋体"/>
          <w:bCs/>
          <w:sz w:val="24"/>
          <w:szCs w:val="24"/>
          <w:highlight w:val="none"/>
        </w:rPr>
        <w:t>“</w:t>
      </w:r>
      <w:r>
        <w:rPr>
          <w:rFonts w:hint="eastAsia" w:ascii="宋体" w:hAnsi="宋体"/>
          <w:bCs/>
          <w:sz w:val="24"/>
          <w:szCs w:val="24"/>
          <w:highlight w:val="none"/>
          <w:lang w:val="zh-CN"/>
        </w:rPr>
        <w:t>中国政府采购网</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（www.ccgp.gov.cn）</w:t>
      </w:r>
      <w:r>
        <w:rPr>
          <w:rFonts w:hint="eastAsia" w:ascii="宋体" w:hAnsi="宋体"/>
          <w:bCs/>
          <w:sz w:val="24"/>
          <w:szCs w:val="24"/>
          <w:highlight w:val="none"/>
          <w:lang w:val="zh-CN"/>
        </w:rPr>
        <w:t>被列入政府采购严重违法失信行为记录名单</w:t>
      </w:r>
      <w:r>
        <w:rPr>
          <w:rFonts w:hint="eastAsia" w:ascii="宋体" w:hAnsi="宋体"/>
          <w:bCs/>
          <w:sz w:val="24"/>
          <w:szCs w:val="24"/>
          <w:highlight w:val="none"/>
        </w:rPr>
        <w:t>；</w:t>
      </w:r>
      <w:r>
        <w:rPr>
          <w:rFonts w:hint="eastAsia" w:ascii="宋体" w:hAnsi="宋体"/>
          <w:b/>
          <w:sz w:val="24"/>
          <w:szCs w:val="24"/>
          <w:highlight w:val="none"/>
        </w:rPr>
        <w:t>（</w:t>
      </w:r>
      <w:r>
        <w:rPr>
          <w:rFonts w:ascii="宋体" w:hAnsi="宋体"/>
          <w:b/>
          <w:sz w:val="24"/>
          <w:szCs w:val="24"/>
          <w:highlight w:val="none"/>
        </w:rPr>
        <w:t>若</w:t>
      </w:r>
      <w:r>
        <w:rPr>
          <w:rFonts w:hint="eastAsia" w:ascii="宋体" w:hAnsi="宋体"/>
          <w:b/>
          <w:sz w:val="24"/>
          <w:szCs w:val="24"/>
          <w:highlight w:val="none"/>
        </w:rPr>
        <w:t>供应商</w:t>
      </w:r>
      <w:r>
        <w:rPr>
          <w:rFonts w:ascii="宋体" w:hAnsi="宋体"/>
          <w:b/>
          <w:sz w:val="24"/>
          <w:szCs w:val="24"/>
          <w:highlight w:val="none"/>
        </w:rPr>
        <w:t>企业信息已录入以上网站的，</w:t>
      </w:r>
      <w:r>
        <w:rPr>
          <w:rFonts w:hint="eastAsia" w:ascii="宋体" w:hAnsi="宋体"/>
          <w:b/>
          <w:sz w:val="24"/>
          <w:szCs w:val="24"/>
          <w:highlight w:val="none"/>
          <w:lang w:val="zh-CN"/>
        </w:rPr>
        <w:t>无需提供相关证明材料</w:t>
      </w:r>
      <w:r>
        <w:rPr>
          <w:rFonts w:ascii="宋体" w:hAnsi="宋体"/>
          <w:b/>
          <w:sz w:val="24"/>
          <w:szCs w:val="24"/>
          <w:highlight w:val="none"/>
        </w:rPr>
        <w:t>；</w:t>
      </w:r>
      <w:r>
        <w:rPr>
          <w:rFonts w:hint="eastAsia" w:ascii="宋体" w:hAnsi="宋体"/>
          <w:b/>
          <w:sz w:val="24"/>
          <w:szCs w:val="24"/>
          <w:highlight w:val="none"/>
        </w:rPr>
        <w:t>若供应商企业信息</w:t>
      </w:r>
      <w:r>
        <w:rPr>
          <w:rFonts w:ascii="宋体" w:hAnsi="宋体"/>
          <w:b/>
          <w:sz w:val="24"/>
          <w:szCs w:val="24"/>
          <w:highlight w:val="none"/>
        </w:rPr>
        <w:t>未</w:t>
      </w:r>
      <w:r>
        <w:rPr>
          <w:rFonts w:hint="eastAsia" w:ascii="宋体" w:hAnsi="宋体"/>
          <w:b/>
          <w:sz w:val="24"/>
          <w:szCs w:val="24"/>
          <w:highlight w:val="none"/>
        </w:rPr>
        <w:t>录入以上网站的，须在</w:t>
      </w:r>
      <w:r>
        <w:rPr>
          <w:rFonts w:hint="eastAsia" w:ascii="宋体" w:hAnsi="宋体"/>
          <w:b/>
          <w:sz w:val="24"/>
          <w:szCs w:val="24"/>
          <w:highlight w:val="none"/>
          <w:lang w:val="en-US" w:eastAsia="zh-CN"/>
        </w:rPr>
        <w:t>投标</w:t>
      </w:r>
      <w:r>
        <w:rPr>
          <w:rFonts w:hint="eastAsia" w:ascii="宋体" w:hAnsi="宋体"/>
          <w:b/>
          <w:sz w:val="24"/>
          <w:szCs w:val="24"/>
          <w:highlight w:val="none"/>
        </w:rPr>
        <w:t>文件中提供</w:t>
      </w:r>
      <w:r>
        <w:rPr>
          <w:rFonts w:ascii="宋体" w:hAnsi="宋体"/>
          <w:b/>
          <w:sz w:val="24"/>
          <w:szCs w:val="24"/>
          <w:highlight w:val="none"/>
        </w:rPr>
        <w:t>无不良信用记录</w:t>
      </w:r>
      <w:r>
        <w:rPr>
          <w:rFonts w:hint="eastAsia" w:ascii="宋体" w:hAnsi="宋体"/>
          <w:b/>
          <w:sz w:val="24"/>
          <w:szCs w:val="24"/>
          <w:highlight w:val="none"/>
        </w:rPr>
        <w:t>承诺</w:t>
      </w:r>
      <w:r>
        <w:rPr>
          <w:rFonts w:ascii="宋体" w:hAnsi="宋体"/>
          <w:b/>
          <w:sz w:val="24"/>
          <w:szCs w:val="24"/>
          <w:highlight w:val="none"/>
        </w:rPr>
        <w:t>书</w:t>
      </w:r>
      <w:r>
        <w:rPr>
          <w:rFonts w:hint="eastAsia" w:ascii="宋体" w:hAnsi="宋体"/>
          <w:b/>
          <w:sz w:val="24"/>
          <w:szCs w:val="24"/>
          <w:highlight w:val="none"/>
        </w:rPr>
        <w:t>）</w:t>
      </w:r>
    </w:p>
    <w:p w14:paraId="6B53E1D7">
      <w:pPr>
        <w:numPr>
          <w:ilvl w:val="0"/>
          <w:numId w:val="3"/>
        </w:numPr>
        <w:tabs>
          <w:tab w:val="left" w:pos="0"/>
          <w:tab w:val="left" w:pos="255"/>
        </w:tabs>
        <w:spacing w:line="360" w:lineRule="auto"/>
        <w:ind w:firstLine="480" w:firstLineChars="200"/>
      </w:pPr>
      <w:r>
        <w:rPr>
          <w:rFonts w:hint="eastAsia" w:ascii="宋体" w:hAnsi="宋体"/>
          <w:sz w:val="24"/>
          <w:szCs w:val="21"/>
          <w:highlight w:val="none"/>
        </w:rPr>
        <w:t>投标保证金交纳证明复印件（银行转账记录）；</w:t>
      </w:r>
      <w:bookmarkStart w:id="17" w:name="OLE_LINK114"/>
    </w:p>
    <w:p w14:paraId="2B96CCE9">
      <w:pPr>
        <w:numPr>
          <w:ilvl w:val="0"/>
          <w:numId w:val="3"/>
        </w:numPr>
        <w:tabs>
          <w:tab w:val="left" w:pos="0"/>
          <w:tab w:val="left" w:pos="255"/>
        </w:tabs>
        <w:spacing w:line="360" w:lineRule="auto"/>
        <w:ind w:firstLine="480" w:firstLineChars="200"/>
      </w:pPr>
      <w:r>
        <w:rPr>
          <w:rFonts w:hint="eastAsia" w:ascii="宋体" w:hAnsi="宋体" w:eastAsia="宋体" w:cs="宋体"/>
          <w:color w:val="0000FF"/>
          <w:sz w:val="24"/>
          <w:szCs w:val="24"/>
          <w:highlight w:val="none"/>
        </w:rPr>
        <w:t>投标人具备机电安装工程施工总承包企业三级及以上资质的或建筑机电安装工程专业承包企业三级及以上资质</w:t>
      </w:r>
      <w:r>
        <w:rPr>
          <w:rFonts w:hint="eastAsia" w:ascii="宋体" w:hAnsi="宋体" w:eastAsia="宋体" w:cs="宋体"/>
          <w:color w:val="0000FF"/>
          <w:sz w:val="24"/>
          <w:szCs w:val="24"/>
          <w:highlight w:val="none"/>
          <w:lang w:eastAsia="zh-CN"/>
        </w:rPr>
        <w:t>；</w:t>
      </w:r>
      <w:r>
        <w:rPr>
          <w:rFonts w:hint="eastAsia" w:ascii="宋体" w:hAnsi="宋体" w:eastAsia="宋体" w:cs="宋体"/>
          <w:b/>
          <w:bCs/>
          <w:sz w:val="24"/>
          <w:szCs w:val="24"/>
          <w:highlight w:val="none"/>
        </w:rPr>
        <w:t>（投标时必须提交相应原件或公证件）</w:t>
      </w:r>
    </w:p>
    <w:p w14:paraId="4D30DFE0">
      <w:pPr>
        <w:numPr>
          <w:ilvl w:val="0"/>
          <w:numId w:val="3"/>
        </w:numPr>
        <w:tabs>
          <w:tab w:val="left" w:pos="0"/>
          <w:tab w:val="left" w:pos="255"/>
        </w:tabs>
        <w:spacing w:line="360" w:lineRule="auto"/>
        <w:ind w:firstLine="480" w:firstLineChars="200"/>
        <w:rPr>
          <w:rFonts w:ascii="宋体" w:hAnsi="宋体" w:cs="宋体"/>
          <w:sz w:val="24"/>
          <w:szCs w:val="24"/>
          <w:highlight w:val="none"/>
        </w:rPr>
      </w:pPr>
      <w:r>
        <w:rPr>
          <w:rFonts w:hint="eastAsia" w:ascii="宋体" w:hAnsi="宋体"/>
          <w:bCs/>
          <w:sz w:val="24"/>
          <w:szCs w:val="24"/>
          <w:highlight w:val="none"/>
        </w:rPr>
        <w:t>所投的无负压供水设备应具有省级及以上卫生部门出具的“卫生许可批件”或“卫生检测报告”复印件，具有无空气污染的预压式无负压供水设备、全封闭无污染无负压给水设备小流量保压技术；</w:t>
      </w:r>
      <w:r>
        <w:rPr>
          <w:rFonts w:hint="eastAsia" w:ascii="宋体" w:hAnsi="宋体" w:eastAsia="宋体" w:cs="宋体"/>
          <w:b/>
          <w:bCs/>
          <w:sz w:val="24"/>
          <w:szCs w:val="24"/>
          <w:highlight w:val="none"/>
        </w:rPr>
        <w:t>（投标时必须提交相应原件或公证件）</w:t>
      </w:r>
    </w:p>
    <w:p w14:paraId="38AA981C">
      <w:pPr>
        <w:numPr>
          <w:ilvl w:val="0"/>
          <w:numId w:val="3"/>
        </w:numPr>
        <w:tabs>
          <w:tab w:val="left" w:pos="0"/>
          <w:tab w:val="left" w:pos="255"/>
        </w:tabs>
        <w:spacing w:line="360" w:lineRule="auto"/>
        <w:ind w:firstLine="480" w:firstLineChars="200"/>
        <w:rPr>
          <w:rFonts w:ascii="宋体" w:hAnsi="宋体" w:cs="宋体"/>
          <w:sz w:val="24"/>
          <w:szCs w:val="24"/>
          <w:highlight w:val="none"/>
        </w:rPr>
      </w:pPr>
      <w:r>
        <w:rPr>
          <w:rFonts w:hint="eastAsia" w:ascii="宋体" w:hAnsi="宋体"/>
          <w:sz w:val="24"/>
          <w:szCs w:val="21"/>
          <w:highlight w:val="none"/>
        </w:rPr>
        <w:t>具有中华人民共和国特种设备制造许可证（压力容器类）且在有效期内；若压力容器为外协提供，则提供外协厂家相应的制造许可证且在有效期内。</w:t>
      </w:r>
      <w:r>
        <w:rPr>
          <w:rFonts w:hint="eastAsia" w:ascii="宋体" w:hAnsi="宋体"/>
          <w:b/>
          <w:bCs/>
          <w:sz w:val="24"/>
          <w:szCs w:val="24"/>
          <w:highlight w:val="none"/>
        </w:rPr>
        <w:t>（投标文件中须提供证书复印件，原件或公证件投标时一并递交）</w:t>
      </w:r>
    </w:p>
    <w:p w14:paraId="50D91CD5">
      <w:pPr>
        <w:tabs>
          <w:tab w:val="left" w:pos="0"/>
          <w:tab w:val="left" w:pos="255"/>
        </w:tabs>
        <w:spacing w:line="360" w:lineRule="auto"/>
        <w:ind w:left="506"/>
        <w:rPr>
          <w:rFonts w:ascii="宋体" w:hAnsi="宋体" w:cs="宋体"/>
          <w:sz w:val="24"/>
          <w:szCs w:val="24"/>
          <w:highlight w:val="none"/>
        </w:rPr>
      </w:pPr>
      <w:r>
        <w:rPr>
          <w:rFonts w:hint="eastAsia" w:ascii="宋体" w:hAnsi="宋体"/>
          <w:sz w:val="24"/>
          <w:szCs w:val="24"/>
          <w:highlight w:val="none"/>
        </w:rPr>
        <w:t>注：以上“近十二个月”是指投标截止日之前近十二个月（不含投标当月）。</w:t>
      </w:r>
    </w:p>
    <w:bookmarkEnd w:id="17"/>
    <w:p w14:paraId="64F3C051">
      <w:pPr>
        <w:numPr>
          <w:ilvl w:val="0"/>
          <w:numId w:val="1"/>
        </w:numPr>
        <w:tabs>
          <w:tab w:val="left" w:pos="255"/>
        </w:tabs>
        <w:spacing w:line="360" w:lineRule="auto"/>
        <w:rPr>
          <w:rFonts w:ascii="宋体" w:hAnsi="宋体"/>
          <w:sz w:val="24"/>
          <w:szCs w:val="24"/>
          <w:highlight w:val="none"/>
        </w:rPr>
      </w:pPr>
      <w:r>
        <w:rPr>
          <w:rFonts w:hint="eastAsia" w:ascii="宋体" w:hAnsi="宋体"/>
          <w:sz w:val="24"/>
          <w:szCs w:val="24"/>
          <w:highlight w:val="none"/>
          <w:lang w:val="zh-CN"/>
        </w:rPr>
        <w:t>技术参数及相关要求偏离表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14:paraId="2E8205F5">
      <w:pPr>
        <w:numPr>
          <w:ilvl w:val="0"/>
          <w:numId w:val="1"/>
        </w:numPr>
        <w:tabs>
          <w:tab w:val="left" w:pos="255"/>
        </w:tabs>
        <w:spacing w:line="360" w:lineRule="auto"/>
        <w:rPr>
          <w:rFonts w:ascii="宋体" w:hAnsi="宋体"/>
          <w:sz w:val="24"/>
          <w:szCs w:val="24"/>
          <w:highlight w:val="none"/>
        </w:rPr>
      </w:pPr>
      <w:bookmarkStart w:id="18" w:name="OLE_LINK4"/>
      <w:r>
        <w:rPr>
          <w:rFonts w:hint="eastAsia" w:ascii="宋体" w:hAnsi="宋体"/>
          <w:sz w:val="24"/>
          <w:szCs w:val="24"/>
          <w:highlight w:val="none"/>
        </w:rPr>
        <w:t>招标文件</w:t>
      </w:r>
      <w:bookmarkEnd w:id="18"/>
      <w:r>
        <w:rPr>
          <w:rFonts w:hint="eastAsia" w:ascii="宋体" w:hAnsi="宋体"/>
          <w:sz w:val="24"/>
          <w:szCs w:val="24"/>
          <w:highlight w:val="none"/>
        </w:rPr>
        <w:t>第四章“项目技术要求和有关说明”中要求提供的相关证明材料</w:t>
      </w:r>
      <w:bookmarkStart w:id="19" w:name="OLE_LINK6"/>
      <w:r>
        <w:rPr>
          <w:rFonts w:hint="eastAsia" w:ascii="宋体" w:hAnsi="宋体"/>
          <w:sz w:val="24"/>
          <w:szCs w:val="24"/>
          <w:highlight w:val="none"/>
        </w:rPr>
        <w:t>（如有自行添加）</w:t>
      </w:r>
      <w:bookmarkEnd w:id="19"/>
    </w:p>
    <w:p w14:paraId="18F174A4">
      <w:pPr>
        <w:numPr>
          <w:ilvl w:val="0"/>
          <w:numId w:val="1"/>
        </w:numPr>
        <w:tabs>
          <w:tab w:val="left" w:pos="255"/>
        </w:tabs>
        <w:spacing w:line="360" w:lineRule="auto"/>
        <w:rPr>
          <w:rFonts w:ascii="宋体" w:hAnsi="宋体"/>
          <w:sz w:val="24"/>
          <w:szCs w:val="24"/>
          <w:highlight w:val="none"/>
        </w:rPr>
      </w:pPr>
      <w:bookmarkStart w:id="20" w:name="OLE_LINK7"/>
      <w:r>
        <w:rPr>
          <w:rFonts w:hint="eastAsia" w:ascii="宋体" w:hAnsi="宋体"/>
          <w:sz w:val="24"/>
          <w:szCs w:val="24"/>
          <w:highlight w:val="none"/>
        </w:rPr>
        <w:t>技术商务部分评分导读表</w:t>
      </w:r>
      <w:bookmarkEnd w:id="20"/>
      <w:r>
        <w:rPr>
          <w:rFonts w:hint="eastAsia" w:ascii="宋体" w:hAnsi="宋体"/>
          <w:sz w:val="24"/>
          <w:szCs w:val="24"/>
          <w:highlight w:val="none"/>
        </w:rPr>
        <w:t>，附招标文件第三章</w:t>
      </w:r>
      <w:r>
        <w:rPr>
          <w:rFonts w:hint="eastAsia" w:ascii="宋体" w:hAnsi="宋体"/>
          <w:sz w:val="24"/>
          <w:szCs w:val="21"/>
          <w:highlight w:val="none"/>
        </w:rPr>
        <w:t>“评标方法和标准”中要求提供的相关文件、证明材料等</w:t>
      </w:r>
      <w:r>
        <w:rPr>
          <w:rFonts w:hint="eastAsia" w:ascii="宋体" w:hAnsi="宋体"/>
          <w:sz w:val="24"/>
          <w:szCs w:val="24"/>
          <w:highlight w:val="none"/>
        </w:rPr>
        <w:t>（格式见附件）</w:t>
      </w:r>
    </w:p>
    <w:p w14:paraId="1E873F7E">
      <w:pPr>
        <w:numPr>
          <w:ilvl w:val="0"/>
          <w:numId w:val="1"/>
        </w:numPr>
        <w:tabs>
          <w:tab w:val="left" w:pos="255"/>
        </w:tabs>
        <w:spacing w:line="360" w:lineRule="auto"/>
        <w:rPr>
          <w:rFonts w:ascii="宋体" w:hAnsi="宋体"/>
          <w:sz w:val="24"/>
          <w:szCs w:val="24"/>
          <w:highlight w:val="none"/>
        </w:rPr>
      </w:pPr>
      <w:r>
        <w:rPr>
          <w:rFonts w:hint="eastAsia" w:ascii="宋体" w:hAnsi="宋体"/>
          <w:sz w:val="24"/>
          <w:szCs w:val="24"/>
          <w:highlight w:val="none"/>
        </w:rPr>
        <w:t>品牌承诺表（格式见附件）</w:t>
      </w:r>
    </w:p>
    <w:p w14:paraId="62A3517F">
      <w:pPr>
        <w:numPr>
          <w:ilvl w:val="0"/>
          <w:numId w:val="1"/>
        </w:numPr>
        <w:spacing w:line="360" w:lineRule="auto"/>
        <w:rPr>
          <w:rFonts w:ascii="宋体" w:hAnsi="宋体"/>
          <w:sz w:val="24"/>
          <w:szCs w:val="24"/>
          <w:highlight w:val="none"/>
          <w:lang w:val="zh-CN"/>
        </w:rPr>
      </w:pPr>
      <w:r>
        <w:rPr>
          <w:rFonts w:hint="eastAsia" w:ascii="宋体" w:hAnsi="宋体"/>
          <w:sz w:val="24"/>
          <w:szCs w:val="24"/>
          <w:highlight w:val="none"/>
        </w:rPr>
        <w:t>要求采购人提供的配合（如有自拟并自行添加）</w:t>
      </w:r>
    </w:p>
    <w:p w14:paraId="7E3722FA">
      <w:pPr>
        <w:numPr>
          <w:ilvl w:val="0"/>
          <w:numId w:val="1"/>
        </w:numPr>
        <w:tabs>
          <w:tab w:val="left" w:pos="255"/>
        </w:tabs>
        <w:spacing w:line="360" w:lineRule="auto"/>
        <w:rPr>
          <w:rFonts w:ascii="宋体" w:hAnsi="宋体"/>
          <w:sz w:val="24"/>
          <w:szCs w:val="24"/>
          <w:highlight w:val="none"/>
          <w:lang w:val="zh-CN"/>
        </w:rPr>
      </w:pPr>
      <w:r>
        <w:rPr>
          <w:rFonts w:hint="eastAsia" w:ascii="宋体" w:hAnsi="宋体"/>
          <w:sz w:val="24"/>
          <w:szCs w:val="24"/>
          <w:highlight w:val="none"/>
          <w:lang w:val="zh-CN"/>
        </w:rPr>
        <w:t>其他（投标人认为有必要提供的声明和文件，</w:t>
      </w:r>
      <w:r>
        <w:rPr>
          <w:rFonts w:hint="eastAsia" w:ascii="宋体" w:hAnsi="宋体"/>
          <w:sz w:val="24"/>
          <w:szCs w:val="24"/>
          <w:highlight w:val="none"/>
        </w:rPr>
        <w:t>如有自拟并自行添加）</w:t>
      </w:r>
    </w:p>
    <w:bookmarkEnd w:id="14"/>
    <w:p w14:paraId="0F7F11E8">
      <w:pPr>
        <w:spacing w:line="360" w:lineRule="auto"/>
        <w:ind w:firstLine="482" w:firstLineChars="200"/>
        <w:rPr>
          <w:rFonts w:ascii="宋体" w:hAnsi="宋体"/>
          <w:bCs/>
          <w:sz w:val="24"/>
          <w:szCs w:val="24"/>
          <w:highlight w:val="none"/>
          <w:lang w:val="zh-CN"/>
        </w:rPr>
      </w:pPr>
      <w:r>
        <w:rPr>
          <w:rFonts w:hint="eastAsia" w:ascii="宋体" w:hAnsi="宋体"/>
          <w:b/>
          <w:sz w:val="24"/>
          <w:szCs w:val="24"/>
          <w:highlight w:val="none"/>
        </w:rPr>
        <w:t>上述（1）-（</w:t>
      </w:r>
      <w:r>
        <w:rPr>
          <w:rFonts w:ascii="仿宋" w:hAnsi="仿宋" w:eastAsia="仿宋"/>
          <w:b/>
          <w:sz w:val="24"/>
          <w:szCs w:val="24"/>
          <w:highlight w:val="none"/>
        </w:rPr>
        <w:t>7</w:t>
      </w:r>
      <w:r>
        <w:rPr>
          <w:rFonts w:hint="eastAsia" w:ascii="宋体" w:hAnsi="宋体"/>
          <w:b/>
          <w:sz w:val="24"/>
          <w:szCs w:val="24"/>
          <w:highlight w:val="none"/>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highlight w:val="none"/>
        </w:rPr>
        <w:t>如上述证明文件遇年检、换证，则必须提供法定年检、换证单位出具的有效证明复印件，原件一并提交。如上述“（3）资格证明文件”第</w:t>
      </w:r>
      <w:r>
        <w:rPr>
          <w:rFonts w:hint="eastAsia" w:ascii="仿宋" w:hAnsi="仿宋" w:eastAsia="仿宋" w:cs="仿宋"/>
          <w:bCs/>
          <w:sz w:val="24"/>
          <w:szCs w:val="24"/>
          <w:highlight w:val="none"/>
        </w:rPr>
        <w:t>④、⑤</w:t>
      </w:r>
      <w:r>
        <w:rPr>
          <w:rFonts w:hint="eastAsia" w:ascii="仿宋" w:hAnsi="仿宋" w:eastAsia="仿宋" w:cs="仿宋"/>
          <w:bCs/>
          <w:sz w:val="24"/>
          <w:szCs w:val="24"/>
          <w:highlight w:val="none"/>
          <w:lang w:eastAsia="zh-CN"/>
        </w:rPr>
        <w:t>、</w:t>
      </w:r>
      <w:r>
        <w:rPr>
          <w:rFonts w:hint="eastAsia" w:ascii="宋体" w:hAnsi="宋体" w:eastAsia="宋体" w:cs="宋体"/>
          <w:bCs/>
          <w:sz w:val="24"/>
          <w:szCs w:val="24"/>
          <w:highlight w:val="none"/>
          <w:lang w:eastAsia="zh-CN"/>
        </w:rPr>
        <w:t>⑥</w:t>
      </w:r>
      <w:r>
        <w:rPr>
          <w:rFonts w:hint="eastAsia" w:ascii="宋体" w:hAnsi="宋体"/>
          <w:bCs/>
          <w:sz w:val="24"/>
          <w:szCs w:val="24"/>
          <w:highlight w:val="none"/>
        </w:rPr>
        <w:t>项，依法免税或</w:t>
      </w:r>
      <w:bookmarkStart w:id="21" w:name="OLE_LINK19"/>
      <w:r>
        <w:rPr>
          <w:rFonts w:hint="eastAsia" w:ascii="宋体" w:hAnsi="宋体"/>
          <w:bCs/>
          <w:sz w:val="24"/>
          <w:szCs w:val="24"/>
          <w:highlight w:val="none"/>
        </w:rPr>
        <w:t>不需要缴纳社会保障资金</w:t>
      </w:r>
      <w:bookmarkEnd w:id="21"/>
      <w:r>
        <w:rPr>
          <w:rFonts w:hint="eastAsia" w:ascii="宋体" w:hAnsi="宋体"/>
          <w:bCs/>
          <w:sz w:val="24"/>
          <w:szCs w:val="24"/>
          <w:highlight w:val="none"/>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4CE01CCF">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8、投标文件的制作及密封</w:t>
      </w:r>
    </w:p>
    <w:p w14:paraId="47EE7B4E">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8.1 </w:t>
      </w:r>
      <w:r>
        <w:rPr>
          <w:rFonts w:hint="eastAsia" w:ascii="宋体" w:hAnsi="宋体"/>
          <w:bCs/>
          <w:sz w:val="24"/>
          <w:szCs w:val="24"/>
          <w:highlight w:val="none"/>
          <w:lang w:val="zh-CN"/>
        </w:rPr>
        <w:t>所有文件、往来函件均应使用简体中文（规格、型号辅助符号例外）。</w:t>
      </w:r>
    </w:p>
    <w:p w14:paraId="29182432">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8.2 </w:t>
      </w:r>
      <w:r>
        <w:rPr>
          <w:rFonts w:hint="eastAsia" w:ascii="宋体" w:hAnsi="宋体"/>
          <w:bCs/>
          <w:sz w:val="24"/>
          <w:szCs w:val="24"/>
          <w:highlight w:val="none"/>
          <w:lang w:val="zh-CN"/>
        </w:rPr>
        <w:t>投标人所使用的计量单位应为国家法定计量单位。</w:t>
      </w:r>
    </w:p>
    <w:p w14:paraId="25659206">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8.3 投标文件由投标人按要求参考给定格式如实填写（编写），格式中有盖章和签名要求的，须加盖投标人公章、并由法定代表人或被授权代表人签名。其中，正本上加盖的公章应为红章。</w:t>
      </w:r>
    </w:p>
    <w:p w14:paraId="2E73BDD4">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8.4 </w:t>
      </w:r>
      <w:r>
        <w:rPr>
          <w:rFonts w:hint="eastAsia" w:ascii="宋体" w:hAnsi="宋体"/>
          <w:bCs/>
          <w:sz w:val="24"/>
          <w:szCs w:val="24"/>
          <w:highlight w:val="none"/>
          <w:lang w:val="zh-CN"/>
        </w:rPr>
        <w:t>如投标人对招标文件的相关内容有不同意见的偏离，应在投标文件中详细说明偏离的情况，如未明确作出偏离情况的说明，则视同</w:t>
      </w:r>
      <w:r>
        <w:rPr>
          <w:rFonts w:hint="eastAsia" w:ascii="宋体" w:hAnsi="宋体"/>
          <w:bCs/>
          <w:sz w:val="24"/>
          <w:szCs w:val="24"/>
          <w:highlight w:val="none"/>
        </w:rPr>
        <w:t>投标人同意招标文件的要求。</w:t>
      </w:r>
    </w:p>
    <w:p w14:paraId="2A8B85DF">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8</w:t>
      </w:r>
      <w:r>
        <w:rPr>
          <w:rFonts w:hint="eastAsia" w:ascii="宋体" w:hAnsi="宋体"/>
          <w:sz w:val="24"/>
          <w:szCs w:val="28"/>
          <w:highlight w:val="none"/>
        </w:rPr>
        <w:t>.5 投标文件不应有涂改、增删和潦草之处，如有必须修改时，修改处须有投标人公章和法定代表人或被授权代表人签字。</w:t>
      </w:r>
    </w:p>
    <w:p w14:paraId="263D8638">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8.6 投标文件应按照“投标文件的组成”顺序</w:t>
      </w:r>
      <w:r>
        <w:rPr>
          <w:rFonts w:hint="eastAsia" w:ascii="宋体" w:hAnsi="宋体"/>
          <w:bCs/>
          <w:sz w:val="24"/>
          <w:szCs w:val="24"/>
          <w:highlight w:val="none"/>
          <w:lang w:val="zh-CN"/>
        </w:rPr>
        <w:t>统一用A4规格幅面打印、装订成册，</w:t>
      </w:r>
      <w:r>
        <w:rPr>
          <w:rFonts w:hint="eastAsia" w:ascii="宋体" w:hAnsi="宋体"/>
          <w:bCs/>
          <w:sz w:val="24"/>
          <w:szCs w:val="24"/>
          <w:highlight w:val="none"/>
        </w:rPr>
        <w:t>并注明“正本”、“副本”字样</w:t>
      </w:r>
      <w:r>
        <w:rPr>
          <w:rFonts w:hint="eastAsia" w:ascii="宋体" w:hAnsi="宋体"/>
          <w:bCs/>
          <w:sz w:val="24"/>
          <w:szCs w:val="24"/>
          <w:highlight w:val="none"/>
          <w:lang w:val="zh-CN"/>
        </w:rPr>
        <w:t>，由于编排混乱导致投标文件被误读或查找不到，责任由投标人承担。</w:t>
      </w:r>
    </w:p>
    <w:p w14:paraId="051AC983">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8.7 投标人应该将投标文件密封，同时注明投标人名称。</w:t>
      </w:r>
    </w:p>
    <w:p w14:paraId="02C3FD63">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9、投标文件的真实性</w:t>
      </w:r>
    </w:p>
    <w:p w14:paraId="394FC6C3">
      <w:pPr>
        <w:spacing w:line="360" w:lineRule="auto"/>
        <w:ind w:firstLine="480" w:firstLineChars="200"/>
        <w:rPr>
          <w:rFonts w:ascii="宋体" w:hAnsi="宋体"/>
          <w:sz w:val="24"/>
          <w:szCs w:val="28"/>
          <w:highlight w:val="none"/>
        </w:rPr>
      </w:pPr>
      <w:r>
        <w:rPr>
          <w:rFonts w:hint="eastAsia" w:ascii="宋体" w:hAnsi="宋体"/>
          <w:sz w:val="24"/>
          <w:szCs w:val="28"/>
          <w:highlight w:val="none"/>
        </w:rPr>
        <w:t>9.1 投标人（含中标供应商）应对其投标文件中提供的所有材料的真实性负责。</w:t>
      </w:r>
    </w:p>
    <w:p w14:paraId="4212943F">
      <w:pPr>
        <w:spacing w:line="360" w:lineRule="auto"/>
        <w:ind w:firstLine="480" w:firstLineChars="200"/>
        <w:rPr>
          <w:rFonts w:ascii="宋体" w:hAnsi="宋体"/>
          <w:sz w:val="24"/>
          <w:szCs w:val="28"/>
          <w:highlight w:val="none"/>
        </w:rPr>
      </w:pPr>
      <w:r>
        <w:rPr>
          <w:rFonts w:hint="eastAsia" w:ascii="宋体" w:hAnsi="宋体"/>
          <w:sz w:val="24"/>
          <w:szCs w:val="28"/>
          <w:highlight w:val="none"/>
        </w:rPr>
        <w:t>9.2 如</w:t>
      </w:r>
      <w:bookmarkStart w:id="22" w:name="OLE_LINK45"/>
      <w:r>
        <w:rPr>
          <w:rFonts w:hint="eastAsia" w:ascii="宋体" w:hAnsi="宋体"/>
          <w:sz w:val="24"/>
          <w:szCs w:val="28"/>
          <w:highlight w:val="none"/>
        </w:rPr>
        <w:t>采购人、</w:t>
      </w:r>
      <w:bookmarkEnd w:id="22"/>
      <w:r>
        <w:rPr>
          <w:rFonts w:hint="eastAsia" w:ascii="宋体" w:hAnsi="宋体"/>
          <w:sz w:val="24"/>
          <w:szCs w:val="28"/>
          <w:highlight w:val="none"/>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228DB4C0">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10、投标文件的递交</w:t>
      </w:r>
    </w:p>
    <w:p w14:paraId="6B8A4992">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10.1 投标人须在招标文件规定的提交投标文件截止时间之前到指定地点提交投标文件，逾期不予受理。</w:t>
      </w:r>
    </w:p>
    <w:p w14:paraId="68156CBD">
      <w:pPr>
        <w:spacing w:line="360" w:lineRule="auto"/>
        <w:ind w:firstLine="472" w:firstLineChars="196"/>
        <w:rPr>
          <w:rFonts w:ascii="宋体" w:hAnsi="宋体"/>
          <w:b/>
          <w:sz w:val="24"/>
          <w:szCs w:val="24"/>
          <w:highlight w:val="none"/>
        </w:rPr>
      </w:pPr>
      <w:r>
        <w:rPr>
          <w:rFonts w:hint="eastAsia" w:ascii="宋体" w:hAnsi="宋体"/>
          <w:b/>
          <w:sz w:val="24"/>
          <w:szCs w:val="24"/>
          <w:highlight w:val="none"/>
        </w:rPr>
        <w:t>11、有下列情形之一的投标文件将拒收</w:t>
      </w:r>
    </w:p>
    <w:p w14:paraId="3F3B1902">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11.1 在招标文件要求提交投标文件的截止时间之后送达的；</w:t>
      </w:r>
    </w:p>
    <w:p w14:paraId="6E579A18">
      <w:pPr>
        <w:spacing w:line="360" w:lineRule="auto"/>
        <w:ind w:firstLine="480" w:firstLineChars="200"/>
        <w:rPr>
          <w:rFonts w:ascii="宋体" w:hAnsi="宋体" w:cs="宋体"/>
          <w:sz w:val="24"/>
          <w:szCs w:val="24"/>
          <w:highlight w:val="none"/>
        </w:rPr>
      </w:pPr>
      <w:r>
        <w:rPr>
          <w:rFonts w:hint="eastAsia" w:ascii="宋体" w:hAnsi="宋体"/>
          <w:bCs/>
          <w:sz w:val="24"/>
          <w:szCs w:val="24"/>
          <w:highlight w:val="none"/>
        </w:rPr>
        <w:t xml:space="preserve">11.2 </w:t>
      </w:r>
      <w:r>
        <w:rPr>
          <w:rFonts w:hint="eastAsia" w:ascii="宋体" w:hAnsi="宋体" w:cs="宋体"/>
          <w:sz w:val="24"/>
          <w:szCs w:val="24"/>
          <w:highlight w:val="none"/>
        </w:rPr>
        <w:t>未按照招标文件要求密封的。</w:t>
      </w:r>
    </w:p>
    <w:p w14:paraId="42B93CE0">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12、投标文件的有效期</w:t>
      </w:r>
    </w:p>
    <w:p w14:paraId="77135813">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12.1 投标文件的有效期为提交投标文件截止之日起的60天（含提交当日）。在特殊情况下，采购人、</w:t>
      </w:r>
      <w:r>
        <w:rPr>
          <w:rFonts w:hint="eastAsia" w:ascii="宋体" w:hAnsi="宋体"/>
          <w:sz w:val="24"/>
          <w:szCs w:val="28"/>
          <w:highlight w:val="none"/>
        </w:rPr>
        <w:t>采购代理机构</w:t>
      </w:r>
      <w:r>
        <w:rPr>
          <w:rFonts w:hint="eastAsia" w:ascii="宋体" w:hAnsi="宋体"/>
          <w:bCs/>
          <w:sz w:val="24"/>
          <w:szCs w:val="24"/>
          <w:highlight w:val="none"/>
        </w:rPr>
        <w:t>可与投标人协商延长投标文件的有效期。</w:t>
      </w:r>
    </w:p>
    <w:p w14:paraId="79F0E34D">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13、投标文件的退还</w:t>
      </w:r>
    </w:p>
    <w:p w14:paraId="2EFDAB42">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13.1 投标人投标后，</w:t>
      </w:r>
      <w:r>
        <w:rPr>
          <w:rFonts w:hint="eastAsia" w:hAnsi="宋体"/>
          <w:bCs/>
          <w:sz w:val="24"/>
          <w:szCs w:val="24"/>
          <w:highlight w:val="none"/>
          <w:lang w:eastAsia="zh-CN"/>
        </w:rPr>
        <w:t>江苏益诚建设工程咨询有限公司</w:t>
      </w:r>
      <w:r>
        <w:rPr>
          <w:rFonts w:hint="eastAsia" w:ascii="宋体" w:hAnsi="宋体"/>
          <w:bCs/>
          <w:sz w:val="24"/>
          <w:szCs w:val="24"/>
          <w:highlight w:val="none"/>
        </w:rPr>
        <w:t>对所有投标人的投标文件一律不予退还。</w:t>
      </w:r>
    </w:p>
    <w:p w14:paraId="54565FFB">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14、投标文件的修改和撤回</w:t>
      </w:r>
    </w:p>
    <w:p w14:paraId="05B72854">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14.1</w:t>
      </w:r>
      <w:r>
        <w:rPr>
          <w:rFonts w:hint="eastAsia" w:ascii="宋体" w:hAnsi="宋体"/>
          <w:bCs/>
          <w:sz w:val="24"/>
          <w:szCs w:val="24"/>
          <w:highlight w:val="none"/>
          <w:lang w:val="zh-CN"/>
        </w:rPr>
        <w:t xml:space="preserve"> 投标人在投标截止时间前，可以对所递交的投标文件进行补充、修改或撤回，并书面通知江苏益诚建设工程咨询有限公司。补充、修改的内容应当按照招标文件要求签署、盖章、密封后，并作为投标文件的组成部分。</w:t>
      </w:r>
    </w:p>
    <w:p w14:paraId="31619B8B">
      <w:pPr>
        <w:spacing w:line="360" w:lineRule="auto"/>
        <w:rPr>
          <w:rFonts w:ascii="宋体" w:hAnsi="宋体"/>
          <w:b/>
          <w:sz w:val="24"/>
          <w:szCs w:val="24"/>
          <w:highlight w:val="none"/>
          <w:lang w:val="zh-CN"/>
        </w:rPr>
      </w:pPr>
      <w:r>
        <w:rPr>
          <w:rFonts w:hint="eastAsia" w:ascii="宋体" w:hAnsi="宋体"/>
          <w:b/>
          <w:sz w:val="24"/>
          <w:szCs w:val="24"/>
          <w:highlight w:val="none"/>
        </w:rPr>
        <w:t xml:space="preserve">     15、</w:t>
      </w:r>
      <w:r>
        <w:rPr>
          <w:rFonts w:hint="eastAsia" w:ascii="宋体" w:hAnsi="宋体"/>
          <w:b/>
          <w:sz w:val="24"/>
          <w:szCs w:val="24"/>
          <w:highlight w:val="none"/>
          <w:lang w:val="zh-CN"/>
        </w:rPr>
        <w:t>无效投标的确认</w:t>
      </w:r>
    </w:p>
    <w:p w14:paraId="0B870AD2">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15.1 </w:t>
      </w:r>
      <w:r>
        <w:rPr>
          <w:rFonts w:hint="eastAsia" w:ascii="宋体" w:hAnsi="宋体"/>
          <w:bCs/>
          <w:sz w:val="24"/>
          <w:szCs w:val="24"/>
          <w:highlight w:val="none"/>
          <w:lang w:val="zh-CN"/>
        </w:rPr>
        <w:t>投标人有下列情况之一者，其投标无效：</w:t>
      </w:r>
    </w:p>
    <w:p w14:paraId="66D9130E">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未按照招标文件的规定提交投标保证金的；</w:t>
      </w:r>
    </w:p>
    <w:p w14:paraId="288F5B44">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投标文件未按招标文件要求签署、盖章的；</w:t>
      </w:r>
    </w:p>
    <w:p w14:paraId="6B06BCBE">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不具备招标文件投标邀请函中“2.1投标人参加本次采购活动</w:t>
      </w:r>
      <w:r>
        <w:rPr>
          <w:rFonts w:hint="eastAsia" w:ascii="宋体" w:hAnsi="宋体" w:cs="宋体"/>
          <w:sz w:val="24"/>
          <w:szCs w:val="24"/>
          <w:highlight w:val="none"/>
          <w:lang w:val="zh-CN"/>
        </w:rPr>
        <w:t>应具备的资格条件</w:t>
      </w:r>
      <w:r>
        <w:rPr>
          <w:rFonts w:hint="eastAsia" w:ascii="宋体" w:hAnsi="宋体" w:cs="宋体"/>
          <w:sz w:val="24"/>
          <w:szCs w:val="24"/>
          <w:highlight w:val="none"/>
        </w:rPr>
        <w:t>”</w:t>
      </w:r>
      <w:r>
        <w:rPr>
          <w:rFonts w:hint="eastAsia" w:ascii="宋体" w:hAnsi="宋体"/>
          <w:bCs/>
          <w:sz w:val="24"/>
          <w:szCs w:val="24"/>
          <w:highlight w:val="none"/>
          <w:lang w:val="zh-CN"/>
        </w:rPr>
        <w:t>或未按招标文件规定的要求提供资格证明文件的；</w:t>
      </w:r>
    </w:p>
    <w:p w14:paraId="2C0AE39B">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投标文件未满足“投标文件制作”要求的；</w:t>
      </w:r>
    </w:p>
    <w:p w14:paraId="21D9ADAA">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报价</w:t>
      </w:r>
      <w:r>
        <w:rPr>
          <w:rFonts w:hint="eastAsia" w:ascii="宋体" w:hAnsi="宋体" w:cs="宋体"/>
          <w:sz w:val="24"/>
          <w:szCs w:val="24"/>
          <w:highlight w:val="none"/>
        </w:rPr>
        <w:t>超过招标文件中规定的预算金额或者最高限价的</w:t>
      </w:r>
      <w:r>
        <w:rPr>
          <w:rFonts w:hint="eastAsia" w:ascii="宋体" w:hAnsi="宋体"/>
          <w:bCs/>
          <w:sz w:val="24"/>
          <w:szCs w:val="24"/>
          <w:highlight w:val="none"/>
          <w:lang w:val="zh-CN"/>
        </w:rPr>
        <w:t>；</w:t>
      </w:r>
    </w:p>
    <w:p w14:paraId="11ED6ADE">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单个细项或整个项目的报价不明确，出现选择性报价的；</w:t>
      </w:r>
    </w:p>
    <w:p w14:paraId="4000D252">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投标文件报价</w:t>
      </w:r>
      <w:r>
        <w:rPr>
          <w:rFonts w:hint="eastAsia" w:ascii="宋体" w:hAnsi="宋体" w:cs="宋体"/>
          <w:sz w:val="24"/>
          <w:szCs w:val="24"/>
          <w:highlight w:val="none"/>
        </w:rPr>
        <w:t>出现前后不一致，且投标人拒绝修正的；</w:t>
      </w:r>
    </w:p>
    <w:p w14:paraId="1F130E13">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投标文件含有采购人不能接受的附加条件的；</w:t>
      </w:r>
    </w:p>
    <w:p w14:paraId="7A197C8E">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评标委员会认为投标人的报价明显低于其他通过符合性审查投标人的报价，有可能影响产品质量或者不能诚信履约，且投标人不能证明其报价合理性的；</w:t>
      </w:r>
    </w:p>
    <w:p w14:paraId="6C6F331A">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与其他投标人恶意串通的，包括但不限于以下几种情况：</w:t>
      </w:r>
    </w:p>
    <w:p w14:paraId="4D5E58DE">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不同投标人的投标文件由同一单位或者个人编制</w:t>
      </w:r>
      <w:r>
        <w:rPr>
          <w:rFonts w:hint="eastAsia" w:ascii="宋体" w:hAnsi="宋体"/>
          <w:bCs/>
          <w:sz w:val="24"/>
          <w:szCs w:val="24"/>
          <w:highlight w:val="none"/>
          <w:lang w:val="zh-CN"/>
        </w:rPr>
        <w:t>；</w:t>
      </w:r>
    </w:p>
    <w:p w14:paraId="2CA92668">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不同投标人委托同一单位或者个人办理投标事宜</w:t>
      </w:r>
      <w:r>
        <w:rPr>
          <w:rFonts w:hint="eastAsia" w:ascii="宋体" w:hAnsi="宋体"/>
          <w:bCs/>
          <w:sz w:val="24"/>
          <w:szCs w:val="24"/>
          <w:highlight w:val="none"/>
          <w:lang w:val="zh-CN"/>
        </w:rPr>
        <w:t>；</w:t>
      </w:r>
    </w:p>
    <w:p w14:paraId="106568A2">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不同投标人的投标文件载明的项目管理成员或者联系人员为同一人</w:t>
      </w:r>
      <w:r>
        <w:rPr>
          <w:rFonts w:hint="eastAsia" w:ascii="宋体" w:hAnsi="宋体"/>
          <w:bCs/>
          <w:sz w:val="24"/>
          <w:szCs w:val="24"/>
          <w:highlight w:val="none"/>
          <w:lang w:val="zh-CN"/>
        </w:rPr>
        <w:t>；</w:t>
      </w:r>
    </w:p>
    <w:p w14:paraId="2B9D585F">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不同投标人的投标文件异常一致或者投标报价呈规律性差异</w:t>
      </w:r>
      <w:r>
        <w:rPr>
          <w:rFonts w:hint="eastAsia" w:ascii="宋体" w:hAnsi="宋体"/>
          <w:bCs/>
          <w:sz w:val="24"/>
          <w:szCs w:val="24"/>
          <w:highlight w:val="none"/>
          <w:lang w:val="zh-CN"/>
        </w:rPr>
        <w:t>；</w:t>
      </w:r>
    </w:p>
    <w:p w14:paraId="13532FC8">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不同投标人的投标文件相互混装</w:t>
      </w:r>
      <w:r>
        <w:rPr>
          <w:rFonts w:hint="eastAsia" w:ascii="宋体" w:hAnsi="宋体"/>
          <w:bCs/>
          <w:sz w:val="24"/>
          <w:szCs w:val="24"/>
          <w:highlight w:val="none"/>
          <w:lang w:val="zh-CN"/>
        </w:rPr>
        <w:t>；</w:t>
      </w:r>
    </w:p>
    <w:p w14:paraId="4A2878F3">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不同投标人的投标保证金从同一单位或者个人的账户转出</w:t>
      </w:r>
      <w:r>
        <w:rPr>
          <w:rFonts w:hint="eastAsia" w:ascii="宋体" w:hAnsi="宋体" w:cs="宋体"/>
          <w:sz w:val="24"/>
          <w:szCs w:val="24"/>
          <w:highlight w:val="none"/>
          <w:lang w:eastAsia="zh-CN"/>
        </w:rPr>
        <w:t>。</w:t>
      </w:r>
    </w:p>
    <w:p w14:paraId="631D46C3">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提供虚假材料的（包括工商营业执照、资格证明文件等）；</w:t>
      </w:r>
    </w:p>
    <w:p w14:paraId="0A88BE3E">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rPr>
      </w:pP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12</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rPr>
        <w:t>评标委员会认定投标人的报价明显低于其他通过符合性审查投标人的报价，有可能影响产品质量或者不能诚信履约的，应当按照《关于推动解决政府采购异常低价问题相关工作的通知》（苏财购〔2025〕62号）要求，启动异常低价投标（响应）审查程序。出现招标文件规定的异常低价情形，评标委员会未启动异常低价审查或未对异常低价情形作出认定意见的，采购人应及时报告同级财政部门，由财政部门按照《中华人民共和国政府采购法实施条例》第七十五条追究评审专家的法律责任。</w:t>
      </w:r>
    </w:p>
    <w:p w14:paraId="7A7D5BAE">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rPr>
      </w:pPr>
      <w:r>
        <w:rPr>
          <w:rFonts w:hint="eastAsia" w:ascii="宋体" w:hAnsi="宋体" w:eastAsia="宋体" w:cs="宋体"/>
          <w:color w:val="0000FF"/>
          <w:sz w:val="24"/>
          <w:szCs w:val="24"/>
        </w:rPr>
        <w:t>评标委员会启动异常低价投标（响应）审查的情形和具体要求，包括：</w:t>
      </w:r>
    </w:p>
    <w:p w14:paraId="30B1FDA5">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1、在评审中出现下列情形之一的，评审委员会将启动异常低价投标审查程序：</w:t>
      </w:r>
    </w:p>
    <w:p w14:paraId="2E707FA8">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①报价低于全部通过符合性审查供应商报价平均值50%的，即报价&lt;全部通过符合性审查供应商报价平均值×50%；</w:t>
      </w:r>
    </w:p>
    <w:p w14:paraId="6CE02377">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②报价低于通过符合性审查且报价次低供应商报价50%的，即报价&lt;通过符合性审查且报价次低供应商报价×50%；</w:t>
      </w:r>
    </w:p>
    <w:p w14:paraId="4B9DFDD2">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③报价低于采购项目最高限价45%的，即报价&lt;采购项目最高限价×45%；</w:t>
      </w:r>
    </w:p>
    <w:p w14:paraId="2333CA71">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④其他评审委员会认为供应商报价过低，有可能影响产品质量或者不能诚信履约的情形。</w:t>
      </w:r>
    </w:p>
    <w:p w14:paraId="13802E7F">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评审委员会启动异常低价投标审查后，将要求相关供应商在评审现场合理的时间内提供书面说明及必要的证明材料，对报价作出解释。书面说明、证明材料主要是项目具体成本测算等与报价合理性相关的说明、材料。审查相关情况在评审报告中予以记录。</w:t>
      </w:r>
    </w:p>
    <w:p w14:paraId="1E80119B">
      <w:pPr>
        <w:numPr>
          <w:ilvl w:val="0"/>
          <w:numId w:val="0"/>
        </w:numPr>
        <w:tabs>
          <w:tab w:val="left" w:pos="425"/>
        </w:tabs>
        <w:spacing w:line="360" w:lineRule="auto"/>
        <w:ind w:left="420" w:leftChars="0"/>
        <w:rPr>
          <w:rFonts w:ascii="宋体" w:hAnsi="宋体"/>
          <w:bCs/>
          <w:sz w:val="24"/>
          <w:szCs w:val="24"/>
          <w:highlight w:val="none"/>
          <w:lang w:val="zh-CN"/>
        </w:rPr>
      </w:pPr>
      <w:r>
        <w:rPr>
          <w:rFonts w:hint="eastAsia" w:ascii="宋体" w:hAnsi="宋体"/>
          <w:bCs/>
          <w:sz w:val="24"/>
          <w:szCs w:val="24"/>
          <w:highlight w:val="none"/>
          <w:lang w:val="zh-CN"/>
        </w:rPr>
        <w:t>（</w:t>
      </w:r>
      <w:r>
        <w:rPr>
          <w:rFonts w:hint="eastAsia" w:ascii="宋体" w:hAnsi="宋体"/>
          <w:bCs/>
          <w:sz w:val="24"/>
          <w:szCs w:val="24"/>
          <w:highlight w:val="none"/>
          <w:lang w:val="en-US" w:eastAsia="zh-CN"/>
        </w:rPr>
        <w:t>13</w:t>
      </w:r>
      <w:r>
        <w:rPr>
          <w:rFonts w:hint="eastAsia" w:ascii="宋体" w:hAnsi="宋体"/>
          <w:bCs/>
          <w:sz w:val="24"/>
          <w:szCs w:val="24"/>
          <w:highlight w:val="none"/>
          <w:lang w:val="zh-CN"/>
        </w:rPr>
        <w:t>）投标文件内容不全、自相矛盾或不符合法律法规和招标文件中规定的其它实质性要求的；</w:t>
      </w:r>
    </w:p>
    <w:p w14:paraId="7EAC66CD">
      <w:pPr>
        <w:numPr>
          <w:ilvl w:val="0"/>
          <w:numId w:val="0"/>
        </w:numPr>
        <w:tabs>
          <w:tab w:val="left" w:pos="425"/>
        </w:tabs>
        <w:spacing w:line="360" w:lineRule="auto"/>
        <w:ind w:left="420" w:leftChars="0"/>
        <w:rPr>
          <w:rFonts w:ascii="宋体" w:hAnsi="宋体" w:cs="宋体"/>
          <w:sz w:val="24"/>
          <w:szCs w:val="24"/>
          <w:highlight w:val="none"/>
        </w:rPr>
      </w:pPr>
      <w:r>
        <w:rPr>
          <w:rFonts w:hint="eastAsia" w:ascii="宋体" w:hAnsi="宋体"/>
          <w:bCs/>
          <w:sz w:val="24"/>
          <w:szCs w:val="24"/>
          <w:highlight w:val="none"/>
          <w:lang w:val="zh-CN"/>
        </w:rPr>
        <w:t>（</w:t>
      </w:r>
      <w:r>
        <w:rPr>
          <w:rFonts w:hint="eastAsia" w:ascii="宋体" w:hAnsi="宋体"/>
          <w:bCs/>
          <w:sz w:val="24"/>
          <w:szCs w:val="24"/>
          <w:highlight w:val="none"/>
          <w:lang w:val="en-US" w:eastAsia="zh-CN"/>
        </w:rPr>
        <w:t>14</w:t>
      </w:r>
      <w:r>
        <w:rPr>
          <w:rFonts w:hint="eastAsia" w:ascii="宋体" w:hAnsi="宋体"/>
          <w:bCs/>
          <w:sz w:val="24"/>
          <w:szCs w:val="24"/>
          <w:highlight w:val="none"/>
          <w:lang w:val="zh-CN"/>
        </w:rPr>
        <w:t>）法律</w:t>
      </w:r>
      <w:r>
        <w:rPr>
          <w:rFonts w:hint="eastAsia" w:ascii="宋体" w:hAnsi="宋体" w:cs="宋体"/>
          <w:sz w:val="24"/>
          <w:szCs w:val="24"/>
          <w:highlight w:val="none"/>
        </w:rPr>
        <w:t>、法规和招标文件规定的其他无效情形</w:t>
      </w:r>
      <w:r>
        <w:rPr>
          <w:rFonts w:hint="eastAsia" w:ascii="宋体" w:hAnsi="宋体"/>
          <w:bCs/>
          <w:sz w:val="24"/>
          <w:szCs w:val="24"/>
          <w:highlight w:val="none"/>
          <w:lang w:val="zh-CN"/>
        </w:rPr>
        <w:t>。</w:t>
      </w:r>
    </w:p>
    <w:p w14:paraId="10161C2A">
      <w:pPr>
        <w:spacing w:line="360" w:lineRule="auto"/>
        <w:ind w:firstLine="590" w:firstLineChars="245"/>
        <w:rPr>
          <w:rFonts w:ascii="宋体" w:hAnsi="宋体" w:cs="宋体"/>
          <w:b/>
          <w:sz w:val="24"/>
          <w:szCs w:val="24"/>
          <w:highlight w:val="none"/>
        </w:rPr>
      </w:pPr>
      <w:r>
        <w:rPr>
          <w:rFonts w:hint="eastAsia" w:ascii="宋体" w:hAnsi="宋体"/>
          <w:b/>
          <w:sz w:val="24"/>
          <w:szCs w:val="24"/>
          <w:highlight w:val="none"/>
        </w:rPr>
        <w:t>四、联合体投标、</w:t>
      </w:r>
      <w:r>
        <w:rPr>
          <w:rFonts w:hint="eastAsia" w:ascii="宋体" w:hAnsi="宋体" w:cs="宋体"/>
          <w:b/>
          <w:sz w:val="24"/>
          <w:szCs w:val="24"/>
          <w:highlight w:val="none"/>
        </w:rPr>
        <w:t>中标后分包</w:t>
      </w:r>
    </w:p>
    <w:p w14:paraId="60F4AD90">
      <w:pPr>
        <w:spacing w:line="360" w:lineRule="auto"/>
        <w:ind w:firstLine="482" w:firstLineChars="200"/>
        <w:rPr>
          <w:rFonts w:ascii="宋体" w:hAnsi="宋体"/>
          <w:b/>
          <w:bCs/>
          <w:sz w:val="24"/>
          <w:szCs w:val="24"/>
          <w:highlight w:val="none"/>
        </w:rPr>
      </w:pPr>
      <w:bookmarkStart w:id="23" w:name="OLE_LINK96"/>
      <w:r>
        <w:rPr>
          <w:rFonts w:hint="eastAsia" w:ascii="宋体" w:hAnsi="宋体"/>
          <w:b/>
          <w:bCs/>
          <w:sz w:val="24"/>
          <w:szCs w:val="24"/>
          <w:highlight w:val="none"/>
        </w:rPr>
        <w:t>16、不接受联合体投标、不接受中标后分包。</w:t>
      </w:r>
      <w:bookmarkEnd w:id="23"/>
    </w:p>
    <w:p w14:paraId="0935E38A">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五、</w:t>
      </w:r>
      <w:r>
        <w:rPr>
          <w:rFonts w:hint="eastAsia" w:ascii="宋体" w:hAnsi="宋体"/>
          <w:b/>
          <w:sz w:val="24"/>
          <w:szCs w:val="24"/>
          <w:highlight w:val="none"/>
          <w:lang w:val="zh-CN"/>
        </w:rPr>
        <w:t>开标、评标、定标、废标</w:t>
      </w:r>
    </w:p>
    <w:p w14:paraId="7229496A">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17、开标</w:t>
      </w:r>
    </w:p>
    <w:p w14:paraId="49EED674">
      <w:pPr>
        <w:spacing w:line="360" w:lineRule="auto"/>
        <w:ind w:firstLine="480" w:firstLineChars="200"/>
        <w:rPr>
          <w:rFonts w:ascii="宋体" w:hAnsi="宋体"/>
          <w:b/>
          <w:sz w:val="24"/>
          <w:szCs w:val="24"/>
          <w:highlight w:val="none"/>
          <w:lang w:val="zh-CN"/>
        </w:rPr>
      </w:pPr>
      <w:r>
        <w:rPr>
          <w:rFonts w:hint="eastAsia" w:ascii="宋体" w:hAnsi="宋体"/>
          <w:bCs/>
          <w:sz w:val="24"/>
          <w:szCs w:val="24"/>
          <w:highlight w:val="none"/>
        </w:rPr>
        <w:t xml:space="preserve">17.1 </w:t>
      </w:r>
      <w:r>
        <w:rPr>
          <w:rFonts w:hint="eastAsia" w:ascii="宋体" w:hAnsi="宋体"/>
          <w:bCs/>
          <w:sz w:val="24"/>
          <w:szCs w:val="24"/>
          <w:highlight w:val="none"/>
          <w:lang w:val="zh-CN"/>
        </w:rPr>
        <w:t>采购人按招标文件规定的时间在</w:t>
      </w:r>
      <w:r>
        <w:rPr>
          <w:rFonts w:hint="eastAsia" w:ascii="宋体" w:hAnsi="宋体"/>
          <w:bCs/>
          <w:sz w:val="24"/>
          <w:szCs w:val="24"/>
          <w:highlight w:val="none"/>
        </w:rPr>
        <w:t>指定地点</w:t>
      </w:r>
      <w:r>
        <w:rPr>
          <w:rFonts w:hint="eastAsia" w:ascii="宋体" w:hAnsi="宋体"/>
          <w:bCs/>
          <w:sz w:val="24"/>
          <w:szCs w:val="24"/>
          <w:highlight w:val="none"/>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14:paraId="4883EA7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17</w:t>
      </w:r>
      <w:r>
        <w:rPr>
          <w:rFonts w:hint="eastAsia" w:ascii="宋体" w:hAnsi="宋体"/>
          <w:bCs/>
          <w:sz w:val="24"/>
          <w:szCs w:val="24"/>
          <w:highlight w:val="none"/>
          <w:lang w:val="zh-CN"/>
        </w:rPr>
        <w:t>.2  开标过程由采购人或者采购代理机构负责记录，由参加开标的各投标人代表和相关工作人员签字确认后随采购文件一并存档。投标人未参加开标的，视同认可开标结果。</w:t>
      </w:r>
    </w:p>
    <w:p w14:paraId="4669D35E">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17.3 投标人对开标过程和开标记录有疑义，以及认为采购人、采购代理机构相关工作人员有需要回避的情形的，应当场提出询问或者回避申请。</w:t>
      </w:r>
      <w:bookmarkStart w:id="24" w:name="OLE_LINK176"/>
      <w:r>
        <w:rPr>
          <w:rFonts w:hint="eastAsia" w:ascii="宋体" w:hAnsi="宋体"/>
          <w:bCs/>
          <w:sz w:val="24"/>
          <w:szCs w:val="24"/>
          <w:highlight w:val="none"/>
        </w:rPr>
        <w:t>对投标文件报价前后不一致的修正，待进入评标环节以后，由</w:t>
      </w:r>
      <w:r>
        <w:rPr>
          <w:rFonts w:hint="eastAsia" w:ascii="宋体" w:hAnsi="宋体"/>
          <w:bCs/>
          <w:sz w:val="24"/>
          <w:szCs w:val="24"/>
          <w:highlight w:val="none"/>
          <w:lang w:val="zh-CN"/>
        </w:rPr>
        <w:t>评标委员会做出认定</w:t>
      </w:r>
      <w:bookmarkEnd w:id="24"/>
      <w:r>
        <w:rPr>
          <w:rFonts w:hint="eastAsia" w:ascii="宋体" w:hAnsi="宋体"/>
          <w:bCs/>
          <w:sz w:val="24"/>
          <w:szCs w:val="24"/>
          <w:highlight w:val="none"/>
          <w:lang w:val="zh-CN"/>
        </w:rPr>
        <w:t>；若未进入评审环节，不需要做出认定。</w:t>
      </w:r>
    </w:p>
    <w:p w14:paraId="6CF23171">
      <w:pPr>
        <w:spacing w:line="360" w:lineRule="auto"/>
        <w:ind w:firstLine="482" w:firstLineChars="200"/>
        <w:rPr>
          <w:rFonts w:ascii="宋体" w:hAnsi="宋体"/>
          <w:b/>
          <w:sz w:val="24"/>
          <w:szCs w:val="24"/>
          <w:highlight w:val="none"/>
        </w:rPr>
      </w:pPr>
      <w:bookmarkStart w:id="25" w:name="OLE_LINK18"/>
      <w:r>
        <w:rPr>
          <w:rFonts w:hint="eastAsia" w:ascii="宋体" w:hAnsi="宋体"/>
          <w:b/>
          <w:sz w:val="24"/>
          <w:szCs w:val="24"/>
          <w:highlight w:val="none"/>
        </w:rPr>
        <w:t>18、评标</w:t>
      </w:r>
    </w:p>
    <w:p w14:paraId="6ADFBFA7">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18.1 具体评标事务由采购人依法组建的评标委员会负责。</w:t>
      </w:r>
    </w:p>
    <w:p w14:paraId="13CBB15C">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18.2 开标结束后，评标委员会</w:t>
      </w:r>
      <w:r>
        <w:rPr>
          <w:rFonts w:hint="eastAsia" w:ascii="宋体" w:hAnsi="宋体" w:cs="宋体"/>
          <w:sz w:val="24"/>
          <w:szCs w:val="24"/>
          <w:highlight w:val="none"/>
        </w:rPr>
        <w:t>对投标人投标截止时间之前的信用情况进行查询并按照本须知“7、投标文件的组成”中“（3）资格证明文件”的要求依法对投标人的资格进行审查。</w:t>
      </w:r>
    </w:p>
    <w:p w14:paraId="04AEF90C">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18.3 评标委员会对符合资格的投标人的投标文件进行符合性审查，以确定其是否满足招标文件的实质性要求。</w:t>
      </w:r>
    </w:p>
    <w:p w14:paraId="526BF879">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18.4</w:t>
      </w:r>
      <w:r>
        <w:rPr>
          <w:rFonts w:hint="eastAsia" w:ascii="宋体" w:hAnsi="宋体"/>
          <w:b/>
          <w:sz w:val="24"/>
          <w:szCs w:val="24"/>
          <w:highlight w:val="none"/>
        </w:rPr>
        <w:t xml:space="preserve"> 澄清有关问题。</w:t>
      </w:r>
      <w:r>
        <w:rPr>
          <w:rFonts w:hint="eastAsia" w:ascii="宋体" w:hAnsi="宋体" w:cs="宋体"/>
          <w:sz w:val="24"/>
          <w:szCs w:val="24"/>
          <w:highlight w:val="none"/>
        </w:rPr>
        <w:t>对投标文件中含义不明确、同类问题表述不一致或者有明显文字和计算错误的内容</w:t>
      </w:r>
      <w:r>
        <w:rPr>
          <w:rFonts w:hint="eastAsia" w:ascii="宋体" w:hAnsi="宋体"/>
          <w:bCs/>
          <w:sz w:val="24"/>
          <w:szCs w:val="24"/>
          <w:highlight w:val="none"/>
        </w:rPr>
        <w:t>，</w:t>
      </w:r>
      <w:r>
        <w:rPr>
          <w:rFonts w:hint="eastAsia" w:ascii="宋体" w:hAnsi="宋体" w:cs="宋体"/>
          <w:sz w:val="24"/>
          <w:szCs w:val="24"/>
          <w:highlight w:val="none"/>
        </w:rPr>
        <w:t>评标委员会应当以书面形式要求投标人作出必要的澄清、说明或者补正</w:t>
      </w:r>
      <w:r>
        <w:rPr>
          <w:rFonts w:hint="eastAsia" w:ascii="宋体" w:hAnsi="宋体"/>
          <w:bCs/>
          <w:sz w:val="24"/>
          <w:szCs w:val="24"/>
          <w:highlight w:val="none"/>
        </w:rPr>
        <w:t>。</w:t>
      </w:r>
      <w:r>
        <w:rPr>
          <w:rFonts w:hint="eastAsia" w:ascii="宋体" w:hAnsi="宋体" w:cs="宋体"/>
          <w:sz w:val="24"/>
          <w:szCs w:val="24"/>
          <w:highlight w:val="none"/>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highlight w:val="none"/>
        </w:rPr>
        <w:t>对不同文字文本投标文件的解释发生异议的，以中文文本为准；正本与副本不符，以正本为准。</w:t>
      </w:r>
    </w:p>
    <w:p w14:paraId="17DC02AF">
      <w:pPr>
        <w:spacing w:line="360" w:lineRule="auto"/>
        <w:ind w:firstLine="480" w:firstLineChars="200"/>
        <w:rPr>
          <w:rFonts w:ascii="宋体" w:hAnsi="宋体"/>
          <w:bCs/>
          <w:sz w:val="24"/>
          <w:highlight w:val="none"/>
        </w:rPr>
      </w:pPr>
      <w:r>
        <w:rPr>
          <w:rFonts w:hint="eastAsia" w:ascii="宋体" w:hAnsi="宋体"/>
          <w:bCs/>
          <w:sz w:val="24"/>
          <w:szCs w:val="24"/>
          <w:highlight w:val="none"/>
        </w:rPr>
        <w:t xml:space="preserve">18.5 </w:t>
      </w:r>
      <w:r>
        <w:rPr>
          <w:rFonts w:hint="eastAsia" w:ascii="宋体" w:hAnsi="宋体"/>
          <w:b/>
          <w:sz w:val="24"/>
          <w:szCs w:val="24"/>
          <w:highlight w:val="none"/>
        </w:rPr>
        <w:t>比</w:t>
      </w:r>
      <w:r>
        <w:rPr>
          <w:rFonts w:hint="eastAsia" w:ascii="宋体" w:hAnsi="宋体"/>
          <w:b/>
          <w:sz w:val="24"/>
          <w:highlight w:val="none"/>
        </w:rPr>
        <w:t>较与评价</w:t>
      </w:r>
      <w:r>
        <w:rPr>
          <w:rFonts w:hint="eastAsia" w:ascii="宋体" w:hAnsi="宋体"/>
          <w:bCs/>
          <w:sz w:val="24"/>
          <w:highlight w:val="none"/>
        </w:rPr>
        <w:t>。</w:t>
      </w:r>
      <w:r>
        <w:rPr>
          <w:rFonts w:hint="eastAsia" w:ascii="宋体" w:hAnsi="宋体" w:cs="宋体"/>
          <w:sz w:val="24"/>
          <w:szCs w:val="24"/>
          <w:highlight w:val="none"/>
        </w:rPr>
        <w:t>评标委员会应当按照招标文件中规定的评标方法和标准，对符合性审查合格的投标文件进行商务和技术评估，综合比较与评价。</w:t>
      </w:r>
    </w:p>
    <w:p w14:paraId="33E22C54">
      <w:pPr>
        <w:tabs>
          <w:tab w:val="left" w:pos="945"/>
        </w:tabs>
        <w:spacing w:line="360" w:lineRule="auto"/>
        <w:ind w:firstLine="523" w:firstLineChars="218"/>
        <w:rPr>
          <w:rFonts w:ascii="宋体" w:hAnsi="宋体"/>
          <w:bCs/>
          <w:sz w:val="24"/>
          <w:highlight w:val="none"/>
        </w:rPr>
      </w:pPr>
      <w:r>
        <w:rPr>
          <w:rFonts w:hint="eastAsia" w:ascii="宋体" w:hAnsi="宋体"/>
          <w:bCs/>
          <w:sz w:val="24"/>
          <w:highlight w:val="none"/>
        </w:rPr>
        <w:t>18.</w:t>
      </w:r>
      <w:r>
        <w:rPr>
          <w:rFonts w:hint="eastAsia" w:ascii="宋体"/>
          <w:bCs/>
          <w:sz w:val="24"/>
          <w:szCs w:val="24"/>
          <w:highlight w:val="none"/>
        </w:rPr>
        <w:t xml:space="preserve">6 </w:t>
      </w:r>
      <w:r>
        <w:rPr>
          <w:rFonts w:hint="eastAsia" w:ascii="宋体" w:hAnsi="宋体"/>
          <w:b/>
          <w:sz w:val="24"/>
          <w:highlight w:val="none"/>
        </w:rPr>
        <w:t>评标方法和标准</w:t>
      </w:r>
      <w:r>
        <w:rPr>
          <w:rFonts w:hint="eastAsia" w:ascii="宋体" w:hAnsi="宋体"/>
          <w:bCs/>
          <w:sz w:val="24"/>
          <w:highlight w:val="none"/>
        </w:rPr>
        <w:t>。本次招标采用综合评分法。</w:t>
      </w:r>
    </w:p>
    <w:p w14:paraId="6839A938">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w:t>
      </w:r>
      <w:r>
        <w:rPr>
          <w:rFonts w:hint="eastAsia" w:ascii="宋体" w:hAnsi="宋体"/>
          <w:bCs/>
          <w:sz w:val="24"/>
          <w:szCs w:val="24"/>
          <w:highlight w:val="none"/>
        </w:rPr>
        <w:t>1</w:t>
      </w:r>
      <w:r>
        <w:rPr>
          <w:rFonts w:hint="eastAsia" w:ascii="宋体" w:hAnsi="宋体"/>
          <w:bCs/>
          <w:sz w:val="24"/>
          <w:szCs w:val="24"/>
          <w:highlight w:val="none"/>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14:paraId="6E9EB71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zh-CN"/>
        </w:rPr>
        <w:t>若得分相同，按投标报价由低到高顺序排列；若得分且投标报价相同的，则抽签决定顺序排列。</w:t>
      </w:r>
    </w:p>
    <w:p w14:paraId="096AC271">
      <w:pPr>
        <w:tabs>
          <w:tab w:val="left" w:pos="945"/>
        </w:tabs>
        <w:spacing w:line="360" w:lineRule="auto"/>
        <w:ind w:left="420" w:leftChars="200"/>
        <w:rPr>
          <w:rFonts w:ascii="宋体" w:hAnsi="宋体"/>
          <w:bCs/>
          <w:sz w:val="24"/>
          <w:highlight w:val="none"/>
        </w:rPr>
      </w:pPr>
      <w:r>
        <w:rPr>
          <w:rFonts w:hint="eastAsia" w:ascii="宋体" w:hAnsi="宋体"/>
          <w:bCs/>
          <w:sz w:val="24"/>
          <w:highlight w:val="none"/>
        </w:rPr>
        <w:t>（2）投标文件报价出现前后不一致的，除招标文件另有规定外，按照下列规定修正：</w:t>
      </w:r>
    </w:p>
    <w:p w14:paraId="492C280A">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投标文件中开标一览表内容与投标文件中相应内容不一致的，以开标一览表为准；</w:t>
      </w:r>
    </w:p>
    <w:p w14:paraId="2229FF1F">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大写金额和小写金额不一致的，以大写金额为准；</w:t>
      </w:r>
    </w:p>
    <w:p w14:paraId="4B46CCFB">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单价金额小数点或者百分比有明显错位的，以开标一览表的总价为准，并修改单价；</w:t>
      </w:r>
    </w:p>
    <w:p w14:paraId="5B9E9B76">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总价金额与按单价汇总金额不一致的，以单价金额计算结果为准。</w:t>
      </w:r>
    </w:p>
    <w:p w14:paraId="0434B2F4">
      <w:pPr>
        <w:tabs>
          <w:tab w:val="left" w:pos="945"/>
        </w:tabs>
        <w:spacing w:line="360" w:lineRule="auto"/>
        <w:ind w:firstLine="420" w:firstLineChars="175"/>
        <w:rPr>
          <w:rFonts w:ascii="宋体" w:hAnsi="宋体"/>
          <w:bCs/>
          <w:sz w:val="24"/>
          <w:highlight w:val="none"/>
        </w:rPr>
      </w:pPr>
      <w:r>
        <w:rPr>
          <w:rFonts w:hint="eastAsia" w:ascii="宋体" w:hAnsi="宋体"/>
          <w:bCs/>
          <w:sz w:val="24"/>
          <w:highlight w:val="none"/>
        </w:rPr>
        <w:t>注：同时出现两种以上不一致的，按照前款规定的顺序修正。修正后的报价须</w:t>
      </w:r>
      <w:r>
        <w:rPr>
          <w:rFonts w:hint="eastAsia" w:ascii="宋体" w:hAnsi="宋体" w:cs="宋体"/>
          <w:sz w:val="24"/>
          <w:szCs w:val="24"/>
          <w:highlight w:val="none"/>
        </w:rPr>
        <w:t>加盖投标人公章，或由法定代表人或其授权的代表签字。</w:t>
      </w:r>
      <w:r>
        <w:rPr>
          <w:rFonts w:hint="eastAsia" w:ascii="宋体" w:hAnsi="宋体"/>
          <w:bCs/>
          <w:sz w:val="24"/>
          <w:highlight w:val="none"/>
        </w:rPr>
        <w:t>投标人不确认的，其投标无效。</w:t>
      </w:r>
    </w:p>
    <w:p w14:paraId="384EE75A">
      <w:pPr>
        <w:spacing w:line="360" w:lineRule="auto"/>
        <w:ind w:firstLine="480" w:firstLineChars="200"/>
        <w:rPr>
          <w:rFonts w:ascii="宋体" w:hAnsi="宋体"/>
          <w:bCs/>
          <w:sz w:val="24"/>
          <w:szCs w:val="24"/>
          <w:highlight w:val="none"/>
          <w:lang w:val="zh-CN"/>
        </w:rPr>
      </w:pPr>
      <w:r>
        <w:rPr>
          <w:rFonts w:hint="eastAsia" w:ascii="宋体" w:hAnsi="宋体"/>
          <w:bCs/>
          <w:sz w:val="24"/>
          <w:highlight w:val="none"/>
        </w:rPr>
        <w:t xml:space="preserve">18.7 </w:t>
      </w:r>
      <w:r>
        <w:rPr>
          <w:rFonts w:hint="eastAsia" w:ascii="宋体" w:hAnsi="宋体"/>
          <w:bCs/>
          <w:sz w:val="24"/>
          <w:szCs w:val="24"/>
          <w:highlight w:val="none"/>
          <w:lang w:val="zh-CN"/>
        </w:rPr>
        <w:t>评标委员会根据评审结果，完成评审报告的制作。</w:t>
      </w:r>
    </w:p>
    <w:p w14:paraId="52ED8DED">
      <w:pPr>
        <w:spacing w:line="360" w:lineRule="auto"/>
        <w:ind w:firstLine="480" w:firstLineChars="200"/>
        <w:rPr>
          <w:rFonts w:ascii="宋体" w:hAnsi="宋体"/>
          <w:bCs/>
          <w:sz w:val="24"/>
          <w:szCs w:val="24"/>
          <w:highlight w:val="none"/>
          <w:lang w:val="zh-CN"/>
        </w:rPr>
      </w:pPr>
      <w:r>
        <w:rPr>
          <w:rFonts w:hint="eastAsia" w:ascii="宋体" w:hAnsi="宋体"/>
          <w:bCs/>
          <w:sz w:val="24"/>
          <w:highlight w:val="none"/>
        </w:rPr>
        <w:t>18.8 采购人或</w:t>
      </w:r>
      <w:r>
        <w:rPr>
          <w:rFonts w:hint="eastAsia" w:ascii="宋体" w:hAnsi="宋体"/>
          <w:bCs/>
          <w:sz w:val="24"/>
          <w:szCs w:val="24"/>
          <w:highlight w:val="none"/>
          <w:lang w:val="zh-CN"/>
        </w:rPr>
        <w:t>采购代理机构</w:t>
      </w:r>
      <w:r>
        <w:rPr>
          <w:rFonts w:hint="eastAsia" w:ascii="宋体" w:hAnsi="宋体"/>
          <w:bCs/>
          <w:sz w:val="24"/>
          <w:highlight w:val="none"/>
        </w:rPr>
        <w:t>宣读</w:t>
      </w:r>
      <w:r>
        <w:rPr>
          <w:rFonts w:hint="eastAsia" w:ascii="宋体" w:hAnsi="宋体"/>
          <w:bCs/>
          <w:sz w:val="24"/>
          <w:szCs w:val="24"/>
          <w:highlight w:val="none"/>
          <w:lang w:val="zh-CN"/>
        </w:rPr>
        <w:t>评标委员会初步评审意见。</w:t>
      </w:r>
    </w:p>
    <w:bookmarkEnd w:id="25"/>
    <w:p w14:paraId="4458294D">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19、定标</w:t>
      </w:r>
    </w:p>
    <w:p w14:paraId="097CD3B2">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19.1</w:t>
      </w:r>
      <w:r>
        <w:rPr>
          <w:rFonts w:hint="eastAsia" w:ascii="宋体" w:hAnsi="宋体"/>
          <w:bCs/>
          <w:sz w:val="24"/>
          <w:szCs w:val="24"/>
          <w:highlight w:val="none"/>
          <w:lang w:val="zh-CN"/>
        </w:rPr>
        <w:t>评审结束后，由采购人根据评审报告推荐的中标候选人中确定中标供应商。</w:t>
      </w:r>
    </w:p>
    <w:p w14:paraId="52A2FA53">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19.2 </w:t>
      </w:r>
      <w:r>
        <w:rPr>
          <w:rFonts w:hint="eastAsia" w:ascii="宋体" w:hAnsi="宋体"/>
          <w:bCs/>
          <w:sz w:val="24"/>
          <w:szCs w:val="24"/>
          <w:highlight w:val="none"/>
          <w:lang w:val="zh-CN"/>
        </w:rPr>
        <w:t>采购人和采购代理机构向中标供应商发出中标通知书。</w:t>
      </w:r>
    </w:p>
    <w:p w14:paraId="09A60797">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20、投标截止后投标人不足3家，除采购任务取消情形外，按照以下方式处理：</w:t>
      </w:r>
    </w:p>
    <w:p w14:paraId="3F72A42C">
      <w:pPr>
        <w:numPr>
          <w:ilvl w:val="0"/>
          <w:numId w:val="7"/>
        </w:numPr>
        <w:spacing w:line="360" w:lineRule="auto"/>
        <w:rPr>
          <w:rFonts w:ascii="宋体" w:hAnsi="宋体"/>
          <w:bCs/>
          <w:sz w:val="24"/>
          <w:szCs w:val="24"/>
          <w:highlight w:val="none"/>
        </w:rPr>
      </w:pPr>
      <w:r>
        <w:rPr>
          <w:rFonts w:hint="eastAsia" w:ascii="宋体" w:hAnsi="宋体"/>
          <w:bCs/>
          <w:sz w:val="24"/>
          <w:szCs w:val="24"/>
          <w:highlight w:val="none"/>
        </w:rPr>
        <w:t>招标文件存在不合理条款或者招标程序不符合规定的，采购人、采购代理机构改正后依法重新招标；</w:t>
      </w:r>
    </w:p>
    <w:p w14:paraId="0AD75CBD">
      <w:pPr>
        <w:numPr>
          <w:ilvl w:val="0"/>
          <w:numId w:val="7"/>
        </w:numPr>
        <w:spacing w:line="360" w:lineRule="auto"/>
        <w:rPr>
          <w:rFonts w:ascii="宋体" w:hAnsi="宋体"/>
          <w:bCs/>
          <w:sz w:val="24"/>
          <w:szCs w:val="24"/>
          <w:highlight w:val="none"/>
          <w:lang w:val="zh-CN"/>
        </w:rPr>
      </w:pPr>
      <w:r>
        <w:rPr>
          <w:rFonts w:hint="eastAsia" w:ascii="宋体" w:hAnsi="宋体"/>
          <w:bCs/>
          <w:sz w:val="24"/>
          <w:szCs w:val="24"/>
          <w:highlight w:val="none"/>
        </w:rPr>
        <w:t>招标文件没有不合理条款、招标程序符合规定，需要采用其他采购方式采购的，由采购人决定是否需要采用其他采购方式采购。</w:t>
      </w:r>
    </w:p>
    <w:p w14:paraId="728DDEE8">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21、废标的确认</w:t>
      </w:r>
    </w:p>
    <w:p w14:paraId="013C1642">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21.1 有下列情形之一的予以废标，同时由</w:t>
      </w:r>
      <w:r>
        <w:rPr>
          <w:rFonts w:hint="eastAsia" w:ascii="宋体" w:hAnsi="宋体"/>
          <w:bCs/>
          <w:sz w:val="24"/>
          <w:highlight w:val="none"/>
        </w:rPr>
        <w:t>采购人或</w:t>
      </w:r>
      <w:r>
        <w:rPr>
          <w:rFonts w:hint="eastAsia" w:ascii="宋体" w:hAnsi="宋体"/>
          <w:bCs/>
          <w:sz w:val="24"/>
          <w:szCs w:val="24"/>
          <w:highlight w:val="none"/>
          <w:lang w:val="zh-CN"/>
        </w:rPr>
        <w:t>采购机构</w:t>
      </w:r>
      <w:r>
        <w:rPr>
          <w:rFonts w:hint="eastAsia" w:ascii="宋体" w:hAnsi="宋体"/>
          <w:bCs/>
          <w:sz w:val="24"/>
          <w:szCs w:val="24"/>
          <w:highlight w:val="none"/>
        </w:rPr>
        <w:t>将废标理由通知所有投标人：</w:t>
      </w:r>
    </w:p>
    <w:p w14:paraId="7C410140">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符合专业条件的投标人或者对招标文件作出实质性响应的投标人不足</w:t>
      </w:r>
      <w:r>
        <w:rPr>
          <w:rFonts w:hint="eastAsia" w:ascii="宋体" w:hAnsi="宋体"/>
          <w:bCs/>
          <w:sz w:val="24"/>
          <w:szCs w:val="24"/>
          <w:highlight w:val="none"/>
        </w:rPr>
        <w:t>3</w:t>
      </w:r>
      <w:r>
        <w:rPr>
          <w:rFonts w:hint="eastAsia" w:ascii="宋体" w:hAnsi="宋体"/>
          <w:bCs/>
          <w:sz w:val="24"/>
          <w:szCs w:val="24"/>
          <w:highlight w:val="none"/>
          <w:lang w:val="zh-CN"/>
        </w:rPr>
        <w:t>家，且未采用其他采购方式的；</w:t>
      </w:r>
    </w:p>
    <w:p w14:paraId="2328B218">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出现影响采购公正的违法、违规行为；</w:t>
      </w:r>
    </w:p>
    <w:p w14:paraId="6827C84D">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投标人的报价均超过采购预算，采购人不能支付；</w:t>
      </w:r>
    </w:p>
    <w:p w14:paraId="7023A69A">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因重大变故，采购任务取消。</w:t>
      </w:r>
    </w:p>
    <w:p w14:paraId="63518CB4">
      <w:pPr>
        <w:spacing w:line="360" w:lineRule="auto"/>
        <w:ind w:firstLine="482" w:firstLineChars="200"/>
        <w:rPr>
          <w:rFonts w:ascii="宋体" w:hAnsi="宋体"/>
          <w:b/>
          <w:bCs/>
          <w:sz w:val="24"/>
          <w:szCs w:val="24"/>
          <w:highlight w:val="none"/>
        </w:rPr>
      </w:pPr>
      <w:r>
        <w:rPr>
          <w:rFonts w:hint="eastAsia" w:ascii="宋体" w:hAnsi="宋体"/>
          <w:b/>
          <w:bCs/>
          <w:sz w:val="24"/>
          <w:szCs w:val="24"/>
          <w:highlight w:val="none"/>
        </w:rPr>
        <w:t>22、投标保证金</w:t>
      </w:r>
    </w:p>
    <w:p w14:paraId="3BD9078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22.1 </w:t>
      </w:r>
      <w:r>
        <w:rPr>
          <w:rFonts w:hint="eastAsia" w:ascii="宋体" w:hAnsi="宋体"/>
          <w:bCs/>
          <w:sz w:val="24"/>
          <w:szCs w:val="24"/>
          <w:highlight w:val="none"/>
          <w:lang w:val="zh-CN"/>
        </w:rPr>
        <w:t>投标保证金应按照投标邀请规定的数额和办法交纳。</w:t>
      </w:r>
    </w:p>
    <w:p w14:paraId="5E22B1D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22.</w:t>
      </w:r>
      <w:r>
        <w:rPr>
          <w:rFonts w:ascii="宋体" w:hAnsi="宋体"/>
          <w:bCs/>
          <w:sz w:val="24"/>
          <w:szCs w:val="24"/>
          <w:highlight w:val="none"/>
        </w:rPr>
        <w:t>2</w:t>
      </w:r>
      <w:r>
        <w:rPr>
          <w:rFonts w:hint="eastAsia" w:ascii="宋体" w:hAnsi="宋体"/>
          <w:bCs/>
          <w:sz w:val="24"/>
          <w:szCs w:val="24"/>
          <w:highlight w:val="none"/>
        </w:rPr>
        <w:t>招标活动结束后，中标供应商的投标保证金在合同签订后的五个工作日内无息退还；中标通知书发出后5个工作日内退还未中标供应商的投标保证金，不计利息。</w:t>
      </w:r>
    </w:p>
    <w:p w14:paraId="569A4B2E">
      <w:pPr>
        <w:spacing w:line="360" w:lineRule="auto"/>
        <w:ind w:firstLine="480" w:firstLineChars="200"/>
        <w:rPr>
          <w:rFonts w:ascii="宋体" w:hAnsi="宋体"/>
          <w:b/>
          <w:sz w:val="24"/>
          <w:szCs w:val="24"/>
          <w:highlight w:val="none"/>
          <w:lang w:val="zh-CN"/>
        </w:rPr>
      </w:pPr>
      <w:r>
        <w:rPr>
          <w:rFonts w:hint="eastAsia" w:ascii="宋体" w:hAnsi="宋体"/>
          <w:bCs/>
          <w:sz w:val="24"/>
          <w:szCs w:val="24"/>
          <w:highlight w:val="none"/>
          <w:lang w:val="zh-CN"/>
        </w:rPr>
        <w:t>退还投标保证金的手续，由投标人自行与</w:t>
      </w:r>
      <w:r>
        <w:rPr>
          <w:rFonts w:hint="eastAsia" w:ascii="宋体" w:hAnsi="宋体"/>
          <w:bCs/>
          <w:sz w:val="24"/>
          <w:szCs w:val="21"/>
          <w:highlight w:val="none"/>
        </w:rPr>
        <w:t>宜兴市公用环保集团有限公司</w:t>
      </w:r>
      <w:r>
        <w:rPr>
          <w:rFonts w:hint="eastAsia" w:ascii="宋体" w:hAnsi="宋体"/>
          <w:bCs/>
          <w:sz w:val="24"/>
          <w:szCs w:val="24"/>
          <w:highlight w:val="none"/>
          <w:lang w:val="zh-CN"/>
        </w:rPr>
        <w:t>联系办理退还事宜。</w:t>
      </w:r>
    </w:p>
    <w:p w14:paraId="57D18F14">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22.</w:t>
      </w:r>
      <w:r>
        <w:rPr>
          <w:rFonts w:ascii="宋体" w:hAnsi="宋体"/>
          <w:bCs/>
          <w:sz w:val="24"/>
          <w:szCs w:val="24"/>
          <w:highlight w:val="none"/>
        </w:rPr>
        <w:t>3</w:t>
      </w:r>
      <w:r>
        <w:rPr>
          <w:rFonts w:hint="eastAsia" w:ascii="宋体" w:hAnsi="宋体"/>
          <w:bCs/>
          <w:sz w:val="24"/>
          <w:szCs w:val="24"/>
          <w:highlight w:val="none"/>
        </w:rPr>
        <w:t>、</w:t>
      </w:r>
      <w:r>
        <w:rPr>
          <w:rFonts w:hint="eastAsia" w:ascii="宋体" w:hAnsi="宋体"/>
          <w:bCs/>
          <w:sz w:val="24"/>
          <w:szCs w:val="24"/>
          <w:highlight w:val="none"/>
          <w:lang w:val="zh-CN"/>
        </w:rPr>
        <w:t>投标人有下列情形之一的，其交纳的投标保证金不予退还：</w:t>
      </w:r>
    </w:p>
    <w:p w14:paraId="794D879B">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在提交投标文件截止时间后撤回投标文件的；</w:t>
      </w:r>
    </w:p>
    <w:p w14:paraId="20543FBC">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在投标文件中提供虚假材料的；</w:t>
      </w:r>
    </w:p>
    <w:p w14:paraId="2A8F9D08">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除因不可抗力或招标文件认可的情形以外，中标供应商不与采购人签订合同的；</w:t>
      </w:r>
    </w:p>
    <w:p w14:paraId="34D8BF73">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与采购人、其他投标人或者采购代理机构恶意串通的；</w:t>
      </w:r>
    </w:p>
    <w:p w14:paraId="4CE32396">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招标文件规定的其他情形。</w:t>
      </w:r>
    </w:p>
    <w:p w14:paraId="7F783887">
      <w:pPr>
        <w:numPr>
          <w:ilvl w:val="0"/>
          <w:numId w:val="10"/>
        </w:numPr>
        <w:spacing w:line="360" w:lineRule="auto"/>
        <w:rPr>
          <w:rFonts w:ascii="宋体" w:hAnsi="宋体"/>
          <w:b/>
          <w:sz w:val="24"/>
          <w:szCs w:val="24"/>
          <w:highlight w:val="none"/>
        </w:rPr>
      </w:pPr>
      <w:r>
        <w:rPr>
          <w:rFonts w:hint="eastAsia" w:ascii="宋体" w:hAnsi="宋体"/>
          <w:b/>
          <w:sz w:val="24"/>
          <w:szCs w:val="24"/>
          <w:highlight w:val="none"/>
        </w:rPr>
        <w:t>签订合同</w:t>
      </w:r>
    </w:p>
    <w:p w14:paraId="7188A082">
      <w:pPr>
        <w:numPr>
          <w:ilvl w:val="0"/>
          <w:numId w:val="11"/>
        </w:numPr>
        <w:spacing w:line="360" w:lineRule="auto"/>
        <w:rPr>
          <w:rFonts w:ascii="宋体" w:hAnsi="宋体"/>
          <w:b/>
          <w:bCs/>
          <w:sz w:val="24"/>
          <w:szCs w:val="24"/>
          <w:highlight w:val="none"/>
        </w:rPr>
      </w:pPr>
      <w:r>
        <w:rPr>
          <w:rFonts w:hint="eastAsia" w:ascii="宋体" w:hAnsi="宋体"/>
          <w:b/>
          <w:bCs/>
          <w:sz w:val="24"/>
          <w:szCs w:val="24"/>
          <w:highlight w:val="none"/>
        </w:rPr>
        <w:t>签订合同</w:t>
      </w:r>
    </w:p>
    <w:p w14:paraId="44235666">
      <w:pPr>
        <w:spacing w:line="360" w:lineRule="auto"/>
        <w:ind w:firstLine="472" w:firstLineChars="197"/>
        <w:rPr>
          <w:rFonts w:ascii="宋体" w:hAnsi="宋体"/>
          <w:b/>
          <w:bCs/>
          <w:sz w:val="24"/>
          <w:szCs w:val="24"/>
          <w:highlight w:val="none"/>
        </w:rPr>
      </w:pPr>
      <w:r>
        <w:rPr>
          <w:rFonts w:hint="eastAsia" w:ascii="宋体" w:hAnsi="宋体"/>
          <w:bCs/>
          <w:sz w:val="24"/>
          <w:szCs w:val="24"/>
          <w:highlight w:val="none"/>
        </w:rPr>
        <w:t xml:space="preserve">23.1 </w:t>
      </w:r>
      <w:r>
        <w:rPr>
          <w:rFonts w:hint="eastAsia" w:ascii="宋体" w:hAnsi="宋体"/>
          <w:bCs/>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78CAD88F">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23.2 </w:t>
      </w:r>
      <w:r>
        <w:rPr>
          <w:rFonts w:hint="eastAsia" w:ascii="宋体" w:hAnsi="宋体"/>
          <w:bCs/>
          <w:sz w:val="24"/>
          <w:szCs w:val="24"/>
          <w:highlight w:val="none"/>
          <w:lang w:val="zh-CN"/>
        </w:rPr>
        <w:t>中标供应商应于中标公告发布之日起7日内，办理签订合同前的相关手续;并于中标通知书发出之日起</w:t>
      </w:r>
      <w:r>
        <w:rPr>
          <w:rFonts w:hint="eastAsia" w:ascii="宋体" w:hAnsi="宋体"/>
          <w:bCs/>
          <w:sz w:val="24"/>
          <w:szCs w:val="24"/>
          <w:highlight w:val="none"/>
        </w:rPr>
        <w:t>30</w:t>
      </w:r>
      <w:r>
        <w:rPr>
          <w:rFonts w:hint="eastAsia" w:ascii="宋体" w:hAnsi="宋体"/>
          <w:bCs/>
          <w:sz w:val="24"/>
          <w:szCs w:val="24"/>
          <w:highlight w:val="none"/>
          <w:lang w:val="zh-CN"/>
        </w:rPr>
        <w:t>日内，按照招标文件确定的事项与采购人签订合同。</w:t>
      </w:r>
    </w:p>
    <w:p w14:paraId="387B92B6">
      <w:pPr>
        <w:spacing w:line="360" w:lineRule="auto"/>
        <w:ind w:left="420"/>
        <w:rPr>
          <w:rFonts w:ascii="宋体" w:hAnsi="宋体"/>
          <w:bCs/>
          <w:sz w:val="24"/>
          <w:szCs w:val="24"/>
          <w:highlight w:val="none"/>
          <w:lang w:val="zh-CN"/>
        </w:rPr>
      </w:pPr>
      <w:r>
        <w:rPr>
          <w:rFonts w:hint="eastAsia" w:ascii="宋体" w:hAnsi="宋体"/>
          <w:bCs/>
          <w:sz w:val="24"/>
          <w:szCs w:val="24"/>
          <w:highlight w:val="none"/>
          <w:lang w:val="zh-CN"/>
        </w:rPr>
        <w:t>中标供应商如逾期不办理相关手续、签订合同，采购人将不予退还其投标保证金。</w:t>
      </w:r>
    </w:p>
    <w:p w14:paraId="7C51A94E">
      <w:pPr>
        <w:spacing w:line="360" w:lineRule="auto"/>
        <w:ind w:left="420"/>
        <w:rPr>
          <w:rFonts w:ascii="宋体" w:hAnsi="宋体"/>
          <w:bCs/>
          <w:sz w:val="24"/>
          <w:szCs w:val="24"/>
          <w:highlight w:val="none"/>
          <w:lang w:val="zh-CN"/>
        </w:rPr>
      </w:pPr>
      <w:r>
        <w:rPr>
          <w:rFonts w:hint="eastAsia" w:ascii="宋体" w:hAnsi="宋体"/>
          <w:bCs/>
          <w:sz w:val="24"/>
          <w:szCs w:val="24"/>
          <w:highlight w:val="none"/>
          <w:lang w:val="zh-CN"/>
        </w:rPr>
        <w:t>如遇特殊情况，采购人可延期签订合同。</w:t>
      </w:r>
    </w:p>
    <w:p w14:paraId="5FE113B9">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23.3 </w:t>
      </w:r>
      <w:r>
        <w:rPr>
          <w:rFonts w:hint="eastAsia" w:ascii="宋体" w:hAnsi="宋体"/>
          <w:bCs/>
          <w:sz w:val="24"/>
          <w:szCs w:val="24"/>
          <w:highlight w:val="none"/>
          <w:lang w:val="zh-CN"/>
        </w:rPr>
        <w:t>签订合同书及合同条款应以招标文件和中标供应商的投标文件为依据。</w:t>
      </w:r>
    </w:p>
    <w:p w14:paraId="64A48850">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23.4</w:t>
      </w:r>
      <w:r>
        <w:rPr>
          <w:rFonts w:hint="eastAsia" w:ascii="宋体" w:hAnsi="宋体"/>
          <w:bCs/>
          <w:sz w:val="24"/>
          <w:szCs w:val="24"/>
          <w:highlight w:val="none"/>
          <w:lang w:val="zh-CN"/>
        </w:rPr>
        <w:t>签订合同前，乙方须按下表要求交纳中标合同总金额</w:t>
      </w:r>
      <w:r>
        <w:rPr>
          <w:rFonts w:hint="eastAsia" w:ascii="宋体" w:hAnsi="宋体"/>
          <w:b/>
          <w:bCs w:val="0"/>
          <w:color w:val="0000FF"/>
          <w:sz w:val="24"/>
          <w:szCs w:val="24"/>
          <w:highlight w:val="none"/>
          <w:u w:val="single"/>
          <w:lang w:val="zh-CN"/>
        </w:rPr>
        <w:t>10%</w:t>
      </w:r>
      <w:r>
        <w:rPr>
          <w:rFonts w:hint="eastAsia" w:ascii="宋体" w:hAnsi="宋体"/>
          <w:bCs/>
          <w:sz w:val="24"/>
          <w:szCs w:val="24"/>
          <w:highlight w:val="none"/>
          <w:lang w:val="zh-CN"/>
        </w:rPr>
        <w:t>的履约保证金。</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330A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jc w:val="center"/>
        </w:trPr>
        <w:tc>
          <w:tcPr>
            <w:tcW w:w="1704" w:type="dxa"/>
            <w:vAlign w:val="center"/>
          </w:tcPr>
          <w:p w14:paraId="5F93E01F">
            <w:pPr>
              <w:jc w:val="center"/>
              <w:rPr>
                <w:rFonts w:hAnsi="宋体"/>
                <w:bCs/>
                <w:szCs w:val="21"/>
                <w:highlight w:val="none"/>
                <w:lang w:val="zh-CN"/>
              </w:rPr>
            </w:pPr>
            <w:r>
              <w:rPr>
                <w:rFonts w:hint="eastAsia"/>
                <w:szCs w:val="21"/>
                <w:highlight w:val="none"/>
              </w:rPr>
              <w:t>交纳履约保证金账户名称</w:t>
            </w:r>
          </w:p>
        </w:tc>
        <w:tc>
          <w:tcPr>
            <w:tcW w:w="3349" w:type="dxa"/>
            <w:vAlign w:val="center"/>
          </w:tcPr>
          <w:p w14:paraId="31059954">
            <w:pPr>
              <w:jc w:val="center"/>
              <w:rPr>
                <w:rFonts w:hAnsi="宋体"/>
                <w:bCs/>
                <w:szCs w:val="21"/>
                <w:highlight w:val="none"/>
                <w:lang w:val="zh-CN"/>
              </w:rPr>
            </w:pPr>
            <w:r>
              <w:rPr>
                <w:rFonts w:hint="eastAsia"/>
                <w:highlight w:val="none"/>
              </w:rPr>
              <w:t>宜兴市公用投资管理有限公司</w:t>
            </w:r>
          </w:p>
        </w:tc>
        <w:tc>
          <w:tcPr>
            <w:tcW w:w="1084" w:type="dxa"/>
            <w:vMerge w:val="restart"/>
            <w:vAlign w:val="center"/>
          </w:tcPr>
          <w:p w14:paraId="525E2736">
            <w:pPr>
              <w:jc w:val="center"/>
              <w:rPr>
                <w:rFonts w:hAnsi="宋体"/>
                <w:bCs/>
                <w:szCs w:val="21"/>
                <w:highlight w:val="none"/>
                <w:lang w:val="zh-CN"/>
              </w:rPr>
            </w:pPr>
            <w:r>
              <w:rPr>
                <w:rFonts w:hint="eastAsia" w:hAnsi="宋体"/>
                <w:bCs/>
                <w:szCs w:val="21"/>
                <w:highlight w:val="none"/>
                <w:lang w:val="zh-CN"/>
              </w:rPr>
              <w:t>交纳</w:t>
            </w:r>
          </w:p>
          <w:p w14:paraId="791907BF">
            <w:pPr>
              <w:jc w:val="center"/>
              <w:rPr>
                <w:rFonts w:hAnsi="宋体"/>
                <w:bCs/>
                <w:szCs w:val="21"/>
                <w:highlight w:val="none"/>
                <w:lang w:val="zh-CN"/>
              </w:rPr>
            </w:pPr>
            <w:r>
              <w:rPr>
                <w:rFonts w:hint="eastAsia" w:hAnsi="宋体"/>
                <w:bCs/>
                <w:szCs w:val="21"/>
                <w:highlight w:val="none"/>
                <w:lang w:val="zh-CN"/>
              </w:rPr>
              <w:t>形式</w:t>
            </w:r>
          </w:p>
        </w:tc>
        <w:tc>
          <w:tcPr>
            <w:tcW w:w="2663" w:type="dxa"/>
            <w:vMerge w:val="restart"/>
            <w:vAlign w:val="center"/>
          </w:tcPr>
          <w:p w14:paraId="007F74C5">
            <w:pPr>
              <w:jc w:val="center"/>
              <w:rPr>
                <w:szCs w:val="21"/>
                <w:highlight w:val="none"/>
              </w:rPr>
            </w:pPr>
            <w:r>
              <w:rPr>
                <w:rFonts w:hint="eastAsia"/>
                <w:szCs w:val="21"/>
                <w:highlight w:val="none"/>
              </w:rPr>
              <w:t>履约保证金的交纳形式限于</w:t>
            </w:r>
            <w:r>
              <w:rPr>
                <w:rFonts w:hint="eastAsia"/>
                <w:highlight w:val="none"/>
              </w:rPr>
              <w:t>转账、电汇、本票、银行汇票、银行保函</w:t>
            </w:r>
            <w:r>
              <w:rPr>
                <w:rFonts w:hint="eastAsia"/>
                <w:szCs w:val="21"/>
                <w:highlight w:val="none"/>
              </w:rPr>
              <w:t>（不接受其他形式的履约保证金）</w:t>
            </w:r>
          </w:p>
        </w:tc>
      </w:tr>
      <w:tr w14:paraId="77912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7165A1C5">
            <w:pPr>
              <w:jc w:val="center"/>
              <w:rPr>
                <w:rFonts w:hAnsi="宋体"/>
                <w:bCs/>
                <w:szCs w:val="21"/>
                <w:highlight w:val="none"/>
                <w:lang w:val="zh-CN"/>
              </w:rPr>
            </w:pPr>
            <w:r>
              <w:rPr>
                <w:rFonts w:hint="eastAsia" w:hAnsi="宋体"/>
                <w:bCs/>
                <w:szCs w:val="21"/>
                <w:highlight w:val="none"/>
                <w:lang w:val="zh-CN"/>
              </w:rPr>
              <w:t>开户银行</w:t>
            </w:r>
          </w:p>
        </w:tc>
        <w:tc>
          <w:tcPr>
            <w:tcW w:w="3349" w:type="dxa"/>
            <w:vAlign w:val="center"/>
          </w:tcPr>
          <w:p w14:paraId="6694A10A">
            <w:pPr>
              <w:jc w:val="center"/>
              <w:rPr>
                <w:rFonts w:hAnsi="宋体"/>
                <w:bCs/>
                <w:szCs w:val="21"/>
                <w:highlight w:val="none"/>
                <w:lang w:val="zh-CN"/>
              </w:rPr>
            </w:pPr>
            <w:r>
              <w:rPr>
                <w:rFonts w:hint="eastAsia"/>
                <w:highlight w:val="none"/>
              </w:rPr>
              <w:t>宁波银行宜兴支行</w:t>
            </w:r>
          </w:p>
        </w:tc>
        <w:tc>
          <w:tcPr>
            <w:tcW w:w="1084" w:type="dxa"/>
            <w:vMerge w:val="continue"/>
            <w:vAlign w:val="center"/>
          </w:tcPr>
          <w:p w14:paraId="2B786751">
            <w:pPr>
              <w:jc w:val="center"/>
              <w:rPr>
                <w:rFonts w:hAnsi="宋体"/>
                <w:bCs/>
                <w:szCs w:val="21"/>
                <w:highlight w:val="none"/>
                <w:lang w:val="zh-CN"/>
              </w:rPr>
            </w:pPr>
          </w:p>
        </w:tc>
        <w:tc>
          <w:tcPr>
            <w:tcW w:w="2663" w:type="dxa"/>
            <w:vMerge w:val="continue"/>
            <w:vAlign w:val="center"/>
          </w:tcPr>
          <w:p w14:paraId="50F8887D">
            <w:pPr>
              <w:jc w:val="center"/>
              <w:rPr>
                <w:rFonts w:hAnsi="宋体"/>
                <w:bCs/>
                <w:szCs w:val="21"/>
                <w:highlight w:val="none"/>
                <w:lang w:val="zh-CN"/>
              </w:rPr>
            </w:pPr>
          </w:p>
        </w:tc>
      </w:tr>
      <w:tr w14:paraId="0D23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51380BF0">
            <w:pPr>
              <w:jc w:val="center"/>
              <w:rPr>
                <w:rFonts w:hAnsi="宋体"/>
                <w:bCs/>
                <w:szCs w:val="21"/>
                <w:highlight w:val="none"/>
                <w:lang w:val="zh-CN"/>
              </w:rPr>
            </w:pPr>
            <w:r>
              <w:rPr>
                <w:rFonts w:hint="eastAsia" w:hAnsi="宋体"/>
                <w:bCs/>
                <w:szCs w:val="21"/>
                <w:highlight w:val="none"/>
                <w:lang w:val="zh-CN"/>
              </w:rPr>
              <w:t>账号</w:t>
            </w:r>
          </w:p>
        </w:tc>
        <w:tc>
          <w:tcPr>
            <w:tcW w:w="3349" w:type="dxa"/>
            <w:vAlign w:val="center"/>
          </w:tcPr>
          <w:p w14:paraId="13C88F39">
            <w:pPr>
              <w:jc w:val="center"/>
              <w:rPr>
                <w:rFonts w:hAnsi="宋体"/>
                <w:bCs/>
                <w:szCs w:val="21"/>
                <w:highlight w:val="none"/>
                <w:lang w:val="zh-CN"/>
              </w:rPr>
            </w:pPr>
            <w:r>
              <w:rPr>
                <w:rFonts w:hint="eastAsia"/>
                <w:highlight w:val="none"/>
              </w:rPr>
              <w:t>78050122000115734</w:t>
            </w:r>
          </w:p>
        </w:tc>
        <w:tc>
          <w:tcPr>
            <w:tcW w:w="1084" w:type="dxa"/>
            <w:vMerge w:val="continue"/>
            <w:vAlign w:val="center"/>
          </w:tcPr>
          <w:p w14:paraId="4FFBFD83">
            <w:pPr>
              <w:jc w:val="center"/>
              <w:rPr>
                <w:rFonts w:hAnsi="宋体"/>
                <w:bCs/>
                <w:szCs w:val="21"/>
                <w:highlight w:val="none"/>
                <w:lang w:val="zh-CN"/>
              </w:rPr>
            </w:pPr>
          </w:p>
        </w:tc>
        <w:tc>
          <w:tcPr>
            <w:tcW w:w="2663" w:type="dxa"/>
            <w:vMerge w:val="continue"/>
            <w:vAlign w:val="center"/>
          </w:tcPr>
          <w:p w14:paraId="10F5980A">
            <w:pPr>
              <w:jc w:val="center"/>
              <w:rPr>
                <w:rFonts w:hAnsi="宋体"/>
                <w:bCs/>
                <w:szCs w:val="21"/>
                <w:highlight w:val="none"/>
                <w:lang w:val="zh-CN"/>
              </w:rPr>
            </w:pPr>
          </w:p>
        </w:tc>
      </w:tr>
    </w:tbl>
    <w:p w14:paraId="262C9A04">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23.5</w:t>
      </w:r>
      <w:r>
        <w:rPr>
          <w:rFonts w:hint="eastAsia" w:ascii="宋体" w:hAnsi="宋体"/>
          <w:bCs/>
          <w:sz w:val="24"/>
          <w:szCs w:val="24"/>
          <w:highlight w:val="none"/>
          <w:lang w:val="zh-CN"/>
        </w:rPr>
        <w:t>履约保证金于</w:t>
      </w:r>
      <w:r>
        <w:rPr>
          <w:rFonts w:hint="eastAsia" w:ascii="宋体" w:hAnsi="宋体" w:cs="宋体"/>
          <w:color w:val="000000"/>
          <w:sz w:val="24"/>
          <w:highlight w:val="none"/>
        </w:rPr>
        <w:t>货物安装完毕验收合格后的三十个工作日内无息退还。注：若乙方缴纳履约保证金的形式为开具银行保</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函，需确保保函有效期覆盖合同期。若合同在执行过程中保函即将过期，乙方需提前一个月重新开具银行保函交至甲方，否则甲方将停付进度款。</w:t>
      </w:r>
    </w:p>
    <w:p w14:paraId="47E63AC9">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23.6</w:t>
      </w:r>
      <w:bookmarkStart w:id="26" w:name="OLE_LINK5"/>
      <w:r>
        <w:rPr>
          <w:rFonts w:hint="eastAsia" w:ascii="宋体" w:hAnsi="宋体"/>
          <w:bCs/>
          <w:sz w:val="24"/>
          <w:szCs w:val="24"/>
          <w:highlight w:val="none"/>
          <w:lang w:val="zh-CN"/>
        </w:rPr>
        <w:t>中标供应商</w:t>
      </w:r>
      <w:bookmarkStart w:id="27" w:name="OLE_LINK175"/>
      <w:r>
        <w:rPr>
          <w:rFonts w:hint="eastAsia" w:ascii="宋体" w:hAnsi="宋体"/>
          <w:bCs/>
          <w:sz w:val="24"/>
          <w:szCs w:val="24"/>
          <w:highlight w:val="none"/>
          <w:lang w:val="zh-CN"/>
        </w:rPr>
        <w:t>（含中标候选人）</w:t>
      </w:r>
      <w:bookmarkEnd w:id="27"/>
      <w:r>
        <w:rPr>
          <w:rFonts w:hint="eastAsia" w:ascii="宋体" w:hAnsi="宋体"/>
          <w:bCs/>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highlight w:val="none"/>
          <w:lang w:val="zh-CN"/>
        </w:rPr>
        <w:t>，列入不良行为记录名单，在一至三年内禁止参加</w:t>
      </w:r>
      <w:r>
        <w:rPr>
          <w:rFonts w:hint="eastAsia" w:ascii="宋体" w:hAnsi="宋体"/>
          <w:bCs/>
          <w:sz w:val="24"/>
          <w:szCs w:val="24"/>
          <w:highlight w:val="none"/>
          <w:lang w:val="zh-CN"/>
        </w:rPr>
        <w:t>本单位的</w:t>
      </w:r>
      <w:r>
        <w:rPr>
          <w:rFonts w:ascii="宋体" w:hAnsi="宋体"/>
          <w:bCs/>
          <w:sz w:val="24"/>
          <w:szCs w:val="24"/>
          <w:highlight w:val="none"/>
          <w:lang w:val="zh-CN"/>
        </w:rPr>
        <w:t>采购活动</w:t>
      </w:r>
      <w:bookmarkStart w:id="28" w:name="OLE_LINK2"/>
      <w:r>
        <w:rPr>
          <w:rFonts w:hint="eastAsia" w:ascii="宋体" w:hAnsi="宋体"/>
          <w:bCs/>
          <w:sz w:val="24"/>
          <w:szCs w:val="24"/>
          <w:highlight w:val="none"/>
          <w:lang w:val="zh-CN"/>
        </w:rPr>
        <w:t>。</w:t>
      </w:r>
      <w:bookmarkEnd w:id="26"/>
      <w:bookmarkEnd w:id="28"/>
      <w:r>
        <w:rPr>
          <w:rFonts w:ascii="宋体" w:hAnsi="宋体"/>
          <w:bCs/>
          <w:sz w:val="24"/>
          <w:szCs w:val="24"/>
          <w:highlight w:val="none"/>
          <w:lang w:val="zh-CN"/>
        </w:rPr>
        <w:t>拒绝签订合同的</w:t>
      </w:r>
      <w:r>
        <w:rPr>
          <w:rFonts w:hint="eastAsia" w:ascii="宋体" w:hAnsi="宋体"/>
          <w:bCs/>
          <w:sz w:val="24"/>
          <w:szCs w:val="24"/>
          <w:highlight w:val="none"/>
          <w:lang w:val="zh-CN"/>
        </w:rPr>
        <w:t>中标供应商（含中标候选人）不得参加对该项目重新开展的采购活动。</w:t>
      </w:r>
    </w:p>
    <w:p w14:paraId="75C269FD">
      <w:pPr>
        <w:spacing w:line="360" w:lineRule="auto"/>
        <w:ind w:firstLine="480" w:firstLineChars="200"/>
        <w:rPr>
          <w:rFonts w:ascii="宋体" w:hAnsi="宋体"/>
          <w:b/>
          <w:sz w:val="24"/>
          <w:szCs w:val="24"/>
          <w:highlight w:val="none"/>
        </w:rPr>
      </w:pPr>
      <w:r>
        <w:rPr>
          <w:rFonts w:hint="eastAsia" w:ascii="宋体" w:hAnsi="宋体"/>
          <w:bCs/>
          <w:sz w:val="24"/>
          <w:szCs w:val="24"/>
          <w:highlight w:val="none"/>
          <w:lang w:val="zh-CN"/>
        </w:rPr>
        <w:t>2</w:t>
      </w:r>
      <w:r>
        <w:rPr>
          <w:rFonts w:hint="eastAsia" w:ascii="宋体" w:hAnsi="宋体"/>
          <w:bCs/>
          <w:sz w:val="24"/>
          <w:szCs w:val="24"/>
          <w:highlight w:val="none"/>
        </w:rPr>
        <w:t>3.7</w:t>
      </w:r>
      <w:r>
        <w:rPr>
          <w:rFonts w:hint="eastAsia" w:ascii="宋体" w:hAnsi="宋体"/>
          <w:bCs/>
          <w:sz w:val="24"/>
          <w:szCs w:val="24"/>
          <w:highlight w:val="none"/>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14:paraId="3A86975A">
      <w:pPr>
        <w:spacing w:line="360" w:lineRule="auto"/>
        <w:ind w:firstLine="472" w:firstLineChars="196"/>
        <w:rPr>
          <w:rFonts w:ascii="宋体" w:hAnsi="宋体"/>
          <w:b/>
          <w:sz w:val="24"/>
          <w:szCs w:val="24"/>
          <w:highlight w:val="none"/>
        </w:rPr>
      </w:pPr>
      <w:r>
        <w:rPr>
          <w:rFonts w:hint="eastAsia" w:ascii="宋体" w:hAnsi="宋体"/>
          <w:b/>
          <w:sz w:val="24"/>
          <w:szCs w:val="24"/>
          <w:highlight w:val="none"/>
        </w:rPr>
        <w:t>七、投标行为及投标产品：</w:t>
      </w:r>
    </w:p>
    <w:p w14:paraId="79C6F4C9">
      <w:pPr>
        <w:spacing w:line="360" w:lineRule="auto"/>
        <w:ind w:firstLine="361" w:firstLineChars="150"/>
        <w:rPr>
          <w:rFonts w:ascii="宋体" w:hAnsi="宋体"/>
          <w:b/>
          <w:bCs/>
          <w:sz w:val="24"/>
          <w:szCs w:val="24"/>
          <w:highlight w:val="none"/>
        </w:rPr>
      </w:pPr>
      <w:r>
        <w:rPr>
          <w:rFonts w:hint="eastAsia" w:ascii="宋体" w:hAnsi="宋体"/>
          <w:b/>
          <w:bCs/>
          <w:sz w:val="24"/>
          <w:szCs w:val="24"/>
          <w:highlight w:val="none"/>
        </w:rPr>
        <w:t>24、投标行为及投标产品：</w:t>
      </w:r>
    </w:p>
    <w:p w14:paraId="42E93F4E">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投标人的投标行为必须遵守各项法律、法规、规章及相关制度的规定。</w:t>
      </w:r>
    </w:p>
    <w:p w14:paraId="7D0562F5">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投标产品、产品安装（施工）及服务质量等应符合国家、行业等相关标准及要求。</w:t>
      </w:r>
    </w:p>
    <w:p w14:paraId="2129500D">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如投标产品为进口产品的，则投标产品必须为通过中国海关报关验放进入中国境内且产自关境外的产品。</w:t>
      </w:r>
    </w:p>
    <w:p w14:paraId="1FE514BD">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投标人提供的产品应是全新、未使用过的原装合格正品。投标人中标后，在供货期内如遇产品平滑（自然）升级，中标供应商应提供平滑升级商品不补差价（招标文件中有特殊要求的除外）。</w:t>
      </w:r>
    </w:p>
    <w:p w14:paraId="4ABBB38D">
      <w:pPr>
        <w:numPr>
          <w:ilvl w:val="0"/>
          <w:numId w:val="12"/>
        </w:numPr>
        <w:spacing w:line="360" w:lineRule="auto"/>
        <w:ind w:left="6"/>
        <w:rPr>
          <w:rFonts w:ascii="宋体" w:hAnsi="宋体"/>
          <w:bCs/>
          <w:sz w:val="24"/>
          <w:szCs w:val="24"/>
          <w:highlight w:val="none"/>
        </w:rPr>
      </w:pPr>
      <w:r>
        <w:rPr>
          <w:rFonts w:hint="eastAsia" w:ascii="宋体" w:hAnsi="宋体"/>
          <w:bCs/>
          <w:sz w:val="24"/>
          <w:szCs w:val="24"/>
          <w:highlight w:val="none"/>
          <w:lang w:val="zh-CN"/>
        </w:rPr>
        <w:t>招标文件中要求投标人出具的证书等相关材料，均应在有效期限内，即有效期限应覆盖投标文件评审当日。</w:t>
      </w:r>
    </w:p>
    <w:p w14:paraId="7428B513">
      <w:pPr>
        <w:spacing w:line="360" w:lineRule="auto"/>
        <w:ind w:left="420"/>
        <w:rPr>
          <w:rFonts w:ascii="宋体" w:hAnsi="宋体"/>
          <w:b/>
          <w:sz w:val="24"/>
          <w:szCs w:val="24"/>
          <w:highlight w:val="none"/>
        </w:rPr>
      </w:pPr>
      <w:bookmarkStart w:id="29" w:name="_Toc23122"/>
      <w:r>
        <w:rPr>
          <w:rFonts w:hint="eastAsia" w:ascii="宋体" w:hAnsi="宋体"/>
          <w:b/>
          <w:sz w:val="24"/>
          <w:szCs w:val="24"/>
          <w:highlight w:val="none"/>
        </w:rPr>
        <w:t>八、质疑处理：</w:t>
      </w:r>
    </w:p>
    <w:p w14:paraId="45AB6B4E">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25、询问</w:t>
      </w:r>
    </w:p>
    <w:p w14:paraId="560ACB6C">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投标人对招标活动事项有疑问的，可以向采购人提出询问，采购人将在两个工作日内作出答复，但答复的内容不涉及商业秘密。</w:t>
      </w:r>
    </w:p>
    <w:p w14:paraId="3948BC4B">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26、质疑</w:t>
      </w:r>
    </w:p>
    <w:p w14:paraId="3E15EF69">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14:paraId="0EB3C0F5">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14:paraId="38FC26DF">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26.3对符合法定质疑条件的质疑，被质疑人在受理后的七个工作日内进行书面答复。</w:t>
      </w:r>
    </w:p>
    <w:p w14:paraId="1E6FA8A1">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26.4恶意质疑或提交虚假质疑一经查实，被质疑人有权依据有关规定，报请采购监管部门对该质疑人进行相应的处罚。</w:t>
      </w:r>
    </w:p>
    <w:p w14:paraId="218AAD5B">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27 投诉</w:t>
      </w:r>
    </w:p>
    <w:p w14:paraId="3E5E2BDA">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14:paraId="52F2363B">
      <w:pPr>
        <w:spacing w:line="360" w:lineRule="auto"/>
        <w:ind w:firstLine="480" w:firstLineChars="200"/>
        <w:rPr>
          <w:rFonts w:ascii="宋体" w:hAnsi="宋体"/>
          <w:bCs/>
          <w:sz w:val="24"/>
          <w:szCs w:val="24"/>
          <w:highlight w:val="none"/>
          <w:lang w:val="zh-CN"/>
        </w:rPr>
        <w:sectPr>
          <w:pgSz w:w="11907" w:h="16840"/>
          <w:pgMar w:top="1134" w:right="1134" w:bottom="1134" w:left="1134" w:header="851" w:footer="992" w:gutter="0"/>
          <w:pgNumType w:fmt="decimal"/>
          <w:cols w:space="720" w:num="1"/>
          <w:titlePg/>
          <w:docGrid w:type="lines" w:linePitch="312" w:charSpace="0"/>
        </w:sectPr>
      </w:pPr>
    </w:p>
    <w:p w14:paraId="79E1ED7F">
      <w:pPr>
        <w:pStyle w:val="4"/>
        <w:spacing w:before="0" w:after="0"/>
        <w:jc w:val="center"/>
        <w:rPr>
          <w:highlight w:val="none"/>
        </w:rPr>
      </w:pPr>
      <w:bookmarkStart w:id="30" w:name="_Toc64637566"/>
      <w:r>
        <w:rPr>
          <w:rFonts w:hint="eastAsia" w:ascii="黑体" w:hAnsi="黑体" w:eastAsia="黑体"/>
          <w:b w:val="0"/>
          <w:kern w:val="2"/>
          <w:sz w:val="28"/>
          <w:highlight w:val="none"/>
        </w:rPr>
        <w:t>第三章 评标方法和标准</w:t>
      </w:r>
      <w:bookmarkEnd w:id="30"/>
    </w:p>
    <w:p w14:paraId="0F7FBC9C">
      <w:pPr>
        <w:spacing w:line="360" w:lineRule="auto"/>
        <w:jc w:val="left"/>
        <w:rPr>
          <w:rFonts w:ascii="宋体" w:hAnsi="宋体"/>
          <w:sz w:val="24"/>
          <w:szCs w:val="24"/>
          <w:highlight w:val="none"/>
        </w:rPr>
      </w:pPr>
      <w:r>
        <w:rPr>
          <w:rFonts w:hint="eastAsia" w:ascii="宋体" w:hAnsi="宋体"/>
          <w:sz w:val="24"/>
          <w:szCs w:val="24"/>
          <w:highlight w:val="none"/>
        </w:rPr>
        <w:t>一、评分项目（总分100分）</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14:paraId="76AE7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85" w:type="dxa"/>
            <w:vAlign w:val="center"/>
          </w:tcPr>
          <w:p w14:paraId="549E4DD4">
            <w:pPr>
              <w:jc w:val="center"/>
              <w:rPr>
                <w:rFonts w:ascii="宋体" w:hAnsi="宋体"/>
                <w:sz w:val="24"/>
                <w:szCs w:val="24"/>
                <w:highlight w:val="none"/>
              </w:rPr>
            </w:pPr>
            <w:r>
              <w:rPr>
                <w:rFonts w:hint="eastAsia" w:ascii="宋体" w:hAnsi="宋体"/>
                <w:sz w:val="24"/>
                <w:szCs w:val="24"/>
                <w:highlight w:val="none"/>
              </w:rPr>
              <w:t>技术商务部分</w:t>
            </w:r>
          </w:p>
        </w:tc>
        <w:tc>
          <w:tcPr>
            <w:tcW w:w="5755" w:type="dxa"/>
            <w:vAlign w:val="center"/>
          </w:tcPr>
          <w:p w14:paraId="0961E054">
            <w:pPr>
              <w:jc w:val="center"/>
              <w:rPr>
                <w:rFonts w:ascii="宋体" w:hAnsi="宋体"/>
                <w:sz w:val="24"/>
                <w:szCs w:val="24"/>
                <w:highlight w:val="none"/>
              </w:rPr>
            </w:pPr>
            <w:r>
              <w:rPr>
                <w:rFonts w:hint="eastAsia" w:ascii="宋体" w:hAnsi="宋体"/>
                <w:sz w:val="24"/>
                <w:szCs w:val="24"/>
                <w:highlight w:val="none"/>
                <w:lang w:val="en-US" w:eastAsia="zh-CN"/>
              </w:rPr>
              <w:t>70</w:t>
            </w:r>
            <w:r>
              <w:rPr>
                <w:rFonts w:hint="eastAsia" w:ascii="宋体" w:hAnsi="宋体"/>
                <w:sz w:val="24"/>
                <w:szCs w:val="24"/>
                <w:highlight w:val="none"/>
              </w:rPr>
              <w:t>分</w:t>
            </w:r>
          </w:p>
        </w:tc>
      </w:tr>
      <w:tr w14:paraId="20AE6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785" w:type="dxa"/>
            <w:vAlign w:val="center"/>
          </w:tcPr>
          <w:p w14:paraId="4F86E4DB">
            <w:pPr>
              <w:jc w:val="center"/>
              <w:rPr>
                <w:rFonts w:ascii="宋体" w:hAnsi="宋体"/>
                <w:sz w:val="24"/>
                <w:szCs w:val="24"/>
                <w:highlight w:val="none"/>
              </w:rPr>
            </w:pPr>
            <w:r>
              <w:rPr>
                <w:rFonts w:hint="eastAsia" w:ascii="宋体" w:hAnsi="宋体"/>
                <w:sz w:val="24"/>
                <w:szCs w:val="24"/>
                <w:highlight w:val="none"/>
              </w:rPr>
              <w:t>价格部分</w:t>
            </w:r>
          </w:p>
        </w:tc>
        <w:tc>
          <w:tcPr>
            <w:tcW w:w="5755" w:type="dxa"/>
            <w:vAlign w:val="center"/>
          </w:tcPr>
          <w:p w14:paraId="7D61A2F8">
            <w:pPr>
              <w:jc w:val="center"/>
              <w:rPr>
                <w:rFonts w:ascii="宋体" w:hAnsi="宋体"/>
                <w:sz w:val="24"/>
                <w:szCs w:val="24"/>
                <w:highlight w:val="none"/>
              </w:rPr>
            </w:pPr>
            <w:r>
              <w:rPr>
                <w:rFonts w:hint="eastAsia" w:ascii="宋体" w:hAnsi="宋体"/>
                <w:sz w:val="24"/>
                <w:szCs w:val="24"/>
                <w:highlight w:val="none"/>
                <w:lang w:val="en-US" w:eastAsia="zh-CN"/>
              </w:rPr>
              <w:t>30</w:t>
            </w:r>
            <w:r>
              <w:rPr>
                <w:rFonts w:hint="eastAsia" w:ascii="宋体" w:hAnsi="宋体"/>
                <w:sz w:val="24"/>
                <w:szCs w:val="24"/>
                <w:highlight w:val="none"/>
              </w:rPr>
              <w:t>分</w:t>
            </w:r>
          </w:p>
        </w:tc>
      </w:tr>
    </w:tbl>
    <w:p w14:paraId="28BA4D1E">
      <w:pPr>
        <w:rPr>
          <w:rFonts w:ascii="宋体" w:hAnsi="宋体"/>
          <w:sz w:val="24"/>
          <w:szCs w:val="24"/>
          <w:highlight w:val="none"/>
        </w:rPr>
      </w:pPr>
    </w:p>
    <w:p w14:paraId="0CACC398">
      <w:pPr>
        <w:spacing w:line="360" w:lineRule="auto"/>
        <w:jc w:val="left"/>
        <w:rPr>
          <w:rFonts w:ascii="宋体" w:hAnsi="宋体"/>
          <w:sz w:val="24"/>
          <w:szCs w:val="24"/>
          <w:highlight w:val="none"/>
        </w:rPr>
      </w:pPr>
      <w:r>
        <w:rPr>
          <w:rFonts w:hint="eastAsia" w:ascii="宋体" w:hAnsi="宋体"/>
          <w:sz w:val="24"/>
          <w:szCs w:val="24"/>
          <w:highlight w:val="none"/>
        </w:rPr>
        <w:t>二、评审内容：</w:t>
      </w:r>
    </w:p>
    <w:p w14:paraId="0718E58D">
      <w:pPr>
        <w:spacing w:line="360" w:lineRule="auto"/>
        <w:jc w:val="left"/>
        <w:rPr>
          <w:rFonts w:ascii="宋体" w:hAnsi="宋体"/>
          <w:sz w:val="24"/>
          <w:szCs w:val="24"/>
          <w:highlight w:val="none"/>
        </w:rPr>
      </w:pPr>
      <w:r>
        <w:rPr>
          <w:rFonts w:hint="eastAsia" w:ascii="宋体" w:hAnsi="宋体"/>
          <w:sz w:val="24"/>
          <w:szCs w:val="24"/>
          <w:highlight w:val="none"/>
        </w:rPr>
        <w:t>1、</w:t>
      </w:r>
      <w:bookmarkStart w:id="31" w:name="OLE_LINK10"/>
      <w:r>
        <w:rPr>
          <w:rFonts w:hint="eastAsia" w:ascii="宋体" w:hAnsi="宋体"/>
          <w:sz w:val="24"/>
          <w:szCs w:val="24"/>
          <w:highlight w:val="none"/>
        </w:rPr>
        <w:t>技术商务部分</w:t>
      </w:r>
      <w:bookmarkEnd w:id="31"/>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501"/>
        <w:gridCol w:w="674"/>
        <w:gridCol w:w="525"/>
        <w:gridCol w:w="5865"/>
        <w:gridCol w:w="1028"/>
      </w:tblGrid>
      <w:tr w14:paraId="7C01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tcBorders>
              <w:top w:val="single" w:color="auto" w:sz="4" w:space="0"/>
              <w:left w:val="single" w:color="auto" w:sz="4" w:space="0"/>
              <w:bottom w:val="single" w:color="auto" w:sz="4" w:space="0"/>
              <w:right w:val="single" w:color="auto" w:sz="4" w:space="0"/>
            </w:tcBorders>
            <w:vAlign w:val="center"/>
          </w:tcPr>
          <w:p w14:paraId="212B38D5">
            <w:pPr>
              <w:jc w:val="center"/>
              <w:rPr>
                <w:rFonts w:hint="eastAsia" w:ascii="宋体" w:hAnsi="宋体" w:eastAsia="宋体" w:cs="宋体"/>
                <w:sz w:val="24"/>
                <w:szCs w:val="24"/>
                <w:highlight w:val="none"/>
              </w:rPr>
            </w:pPr>
            <w:bookmarkStart w:id="32" w:name="OLE_LINK8"/>
            <w:r>
              <w:rPr>
                <w:rFonts w:hint="eastAsia" w:ascii="宋体" w:hAnsi="宋体" w:eastAsia="宋体" w:cs="宋体"/>
                <w:sz w:val="24"/>
                <w:szCs w:val="24"/>
                <w:highlight w:val="none"/>
              </w:rPr>
              <w:t>评审内容</w:t>
            </w:r>
          </w:p>
        </w:tc>
        <w:tc>
          <w:tcPr>
            <w:tcW w:w="501" w:type="dxa"/>
            <w:tcBorders>
              <w:top w:val="single" w:color="auto" w:sz="4" w:space="0"/>
              <w:left w:val="single" w:color="auto" w:sz="4" w:space="0"/>
              <w:bottom w:val="single" w:color="auto" w:sz="4" w:space="0"/>
              <w:right w:val="single" w:color="auto" w:sz="4" w:space="0"/>
            </w:tcBorders>
            <w:vAlign w:val="center"/>
          </w:tcPr>
          <w:p w14:paraId="111882DF">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674" w:type="dxa"/>
            <w:tcBorders>
              <w:top w:val="single" w:color="auto" w:sz="4" w:space="0"/>
              <w:left w:val="single" w:color="auto" w:sz="4" w:space="0"/>
              <w:right w:val="single" w:color="auto" w:sz="4" w:space="0"/>
            </w:tcBorders>
            <w:vAlign w:val="center"/>
          </w:tcPr>
          <w:p w14:paraId="5DE280CB">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评审项目</w:t>
            </w:r>
          </w:p>
        </w:tc>
        <w:tc>
          <w:tcPr>
            <w:tcW w:w="525" w:type="dxa"/>
            <w:tcBorders>
              <w:top w:val="single" w:color="auto" w:sz="4" w:space="0"/>
              <w:left w:val="single" w:color="auto" w:sz="4" w:space="0"/>
              <w:right w:val="single" w:color="auto" w:sz="4" w:space="0"/>
            </w:tcBorders>
            <w:vAlign w:val="center"/>
          </w:tcPr>
          <w:p w14:paraId="6D7D0D7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分值</w:t>
            </w:r>
          </w:p>
        </w:tc>
        <w:tc>
          <w:tcPr>
            <w:tcW w:w="5865" w:type="dxa"/>
            <w:tcBorders>
              <w:top w:val="single" w:color="auto" w:sz="4" w:space="0"/>
              <w:left w:val="single" w:color="auto" w:sz="4" w:space="0"/>
              <w:bottom w:val="single" w:color="auto" w:sz="4" w:space="0"/>
              <w:right w:val="single" w:color="auto" w:sz="4" w:space="0"/>
            </w:tcBorders>
            <w:vAlign w:val="center"/>
          </w:tcPr>
          <w:p w14:paraId="5BA1EA00">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评审细则</w:t>
            </w:r>
          </w:p>
        </w:tc>
        <w:tc>
          <w:tcPr>
            <w:tcW w:w="1028" w:type="dxa"/>
            <w:tcBorders>
              <w:top w:val="single" w:color="auto" w:sz="4" w:space="0"/>
              <w:left w:val="single" w:color="auto" w:sz="4" w:space="0"/>
              <w:bottom w:val="single" w:color="auto" w:sz="4" w:space="0"/>
              <w:right w:val="single" w:color="auto" w:sz="4" w:space="0"/>
            </w:tcBorders>
            <w:vAlign w:val="center"/>
          </w:tcPr>
          <w:p w14:paraId="528F34BB">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投标文件对应页码</w:t>
            </w:r>
          </w:p>
        </w:tc>
      </w:tr>
      <w:tr w14:paraId="29EE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restart"/>
            <w:tcBorders>
              <w:top w:val="single" w:color="auto" w:sz="4" w:space="0"/>
              <w:left w:val="single" w:color="auto" w:sz="4" w:space="0"/>
              <w:right w:val="single" w:color="auto" w:sz="4" w:space="0"/>
            </w:tcBorders>
            <w:vAlign w:val="center"/>
          </w:tcPr>
          <w:p w14:paraId="05A6D4B1">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客观评审因素</w:t>
            </w:r>
          </w:p>
        </w:tc>
        <w:tc>
          <w:tcPr>
            <w:tcW w:w="501" w:type="dxa"/>
            <w:vMerge w:val="restart"/>
            <w:tcBorders>
              <w:top w:val="single" w:color="auto" w:sz="4" w:space="0"/>
              <w:left w:val="single" w:color="auto" w:sz="4" w:space="0"/>
              <w:right w:val="single" w:color="auto" w:sz="4" w:space="0"/>
            </w:tcBorders>
            <w:vAlign w:val="center"/>
          </w:tcPr>
          <w:p w14:paraId="2D46BB57">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674" w:type="dxa"/>
            <w:vMerge w:val="restart"/>
            <w:tcBorders>
              <w:top w:val="single" w:color="auto" w:sz="4" w:space="0"/>
              <w:left w:val="single" w:color="auto" w:sz="4" w:space="0"/>
              <w:right w:val="single" w:color="auto" w:sz="4" w:space="0"/>
            </w:tcBorders>
            <w:vAlign w:val="center"/>
          </w:tcPr>
          <w:p w14:paraId="699FD892">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投标人实力</w:t>
            </w:r>
          </w:p>
        </w:tc>
        <w:tc>
          <w:tcPr>
            <w:tcW w:w="525" w:type="dxa"/>
            <w:tcBorders>
              <w:top w:val="single" w:color="auto" w:sz="4" w:space="0"/>
              <w:left w:val="single" w:color="auto" w:sz="4" w:space="0"/>
              <w:bottom w:val="single" w:color="auto" w:sz="4" w:space="0"/>
              <w:right w:val="single" w:color="auto" w:sz="4" w:space="0"/>
            </w:tcBorders>
            <w:vAlign w:val="center"/>
          </w:tcPr>
          <w:p w14:paraId="4371A580">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5865" w:type="dxa"/>
            <w:tcBorders>
              <w:top w:val="single" w:color="auto" w:sz="4" w:space="0"/>
              <w:left w:val="single" w:color="auto" w:sz="4" w:space="0"/>
              <w:bottom w:val="single" w:color="auto" w:sz="4" w:space="0"/>
              <w:right w:val="single" w:color="auto" w:sz="4" w:space="0"/>
            </w:tcBorders>
            <w:vAlign w:val="center"/>
          </w:tcPr>
          <w:p w14:paraId="700E77EA">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投标人获得省级及以上（含省级和直辖市）主管部门颁发的高新技术企业证书的或省级及以上创新型企业证书的，得1分；获得高新技术成果转化项目认证证书或高新产品认定证书的,得1分,本项最多得2分。</w:t>
            </w:r>
          </w:p>
          <w:p w14:paraId="7CEB9C53">
            <w:pPr>
              <w:widowControl/>
              <w:jc w:val="left"/>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【投标文件中须提供证书复印件，原件投标时一并递交，如未提供原件，则评标委员会不予认可。】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10127EF3">
            <w:pPr>
              <w:jc w:val="center"/>
              <w:rPr>
                <w:rFonts w:hint="eastAsia" w:ascii="宋体" w:hAnsi="宋体" w:eastAsia="宋体" w:cs="宋体"/>
                <w:sz w:val="24"/>
                <w:szCs w:val="24"/>
                <w:highlight w:val="none"/>
              </w:rPr>
            </w:pPr>
          </w:p>
        </w:tc>
      </w:tr>
      <w:tr w14:paraId="49D1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63279148">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47A1D5D2">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73BAE94B">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3439DBD8">
            <w:pPr>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p>
        </w:tc>
        <w:tc>
          <w:tcPr>
            <w:tcW w:w="5865" w:type="dxa"/>
            <w:tcBorders>
              <w:top w:val="single" w:color="auto" w:sz="4" w:space="0"/>
              <w:left w:val="single" w:color="auto" w:sz="4" w:space="0"/>
              <w:bottom w:val="single" w:color="auto" w:sz="4" w:space="0"/>
              <w:right w:val="single" w:color="auto" w:sz="4" w:space="0"/>
            </w:tcBorders>
            <w:vAlign w:val="center"/>
          </w:tcPr>
          <w:p w14:paraId="61593EF9">
            <w:pPr>
              <w:widowControl/>
              <w:jc w:val="left"/>
              <w:textAlignment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投标人或其全资子公司主编过成套二次给水设备的国家标准或行业标准：提供相关标准证明（如相关无负压国家标准或行业标准的封面及显示编制单位那页），得1分。</w:t>
            </w:r>
          </w:p>
          <w:p w14:paraId="6D0FC2AD">
            <w:pPr>
              <w:widowControl/>
              <w:jc w:val="left"/>
              <w:textAlignment w:val="center"/>
              <w:rPr>
                <w:rFonts w:hint="eastAsia" w:ascii="宋体" w:hAnsi="宋体" w:eastAsia="宋体" w:cs="宋体"/>
                <w:color w:val="000000"/>
                <w:sz w:val="24"/>
                <w:szCs w:val="24"/>
                <w:highlight w:val="none"/>
              </w:rPr>
            </w:pPr>
            <w:r>
              <w:rPr>
                <w:rFonts w:hint="eastAsia" w:ascii="宋体" w:hAnsi="宋体" w:eastAsia="宋体" w:cs="宋体"/>
                <w:b/>
                <w:sz w:val="24"/>
                <w:szCs w:val="24"/>
                <w:highlight w:val="none"/>
              </w:rPr>
              <w:t>【投标文件中须提供证明材料复印件，原件或公证件投标时一并递交，否则评标委员会不予认可。】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12F7E3FE">
            <w:pPr>
              <w:jc w:val="center"/>
              <w:rPr>
                <w:rFonts w:hint="eastAsia" w:ascii="宋体" w:hAnsi="宋体" w:eastAsia="宋体" w:cs="宋体"/>
                <w:sz w:val="24"/>
                <w:szCs w:val="24"/>
                <w:highlight w:val="none"/>
              </w:rPr>
            </w:pPr>
          </w:p>
        </w:tc>
      </w:tr>
      <w:tr w14:paraId="5626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2A3E6747">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7DE2DC7C">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4E308C03">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29B77600">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5865" w:type="dxa"/>
            <w:tcBorders>
              <w:top w:val="single" w:color="auto" w:sz="4" w:space="0"/>
              <w:left w:val="single" w:color="auto" w:sz="4" w:space="0"/>
              <w:bottom w:val="single" w:color="auto" w:sz="4" w:space="0"/>
              <w:right w:val="single" w:color="auto" w:sz="4" w:space="0"/>
            </w:tcBorders>
            <w:vAlign w:val="center"/>
          </w:tcPr>
          <w:p w14:paraId="18A69435">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需有完善的成套无负压供水设备产品线（指罐式无负压、箱式无负压、加压泵站无负压等），需同时提供无负压供水设备的省级及以上卫生部门颁发的涉水产品卫生许可批件和省级及以上质检部门按照不同的国家标准或行业标准出具的质量检验报告，每提供1种（含卫生许可批件和相应的检验报告）得</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分，最高得</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分。</w:t>
            </w:r>
          </w:p>
          <w:p w14:paraId="268FE03E">
            <w:pPr>
              <w:widowControl/>
              <w:jc w:val="left"/>
              <w:textAlignment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【投标文件中须提供证明材料复印件，原件或公证件投标时一并递交，如未提供原件或公证件，则评标委员会不予认可。】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7577B440">
            <w:pPr>
              <w:jc w:val="center"/>
              <w:rPr>
                <w:rFonts w:hint="eastAsia" w:ascii="宋体" w:hAnsi="宋体" w:eastAsia="宋体" w:cs="宋体"/>
                <w:sz w:val="24"/>
                <w:szCs w:val="24"/>
                <w:highlight w:val="none"/>
                <w:lang w:val="en-US" w:eastAsia="zh-CN"/>
              </w:rPr>
            </w:pPr>
          </w:p>
        </w:tc>
      </w:tr>
      <w:tr w14:paraId="08C63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49B6CA06">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23861B9D">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17816139">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1440B342">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w:t>
            </w:r>
          </w:p>
        </w:tc>
        <w:tc>
          <w:tcPr>
            <w:tcW w:w="5865" w:type="dxa"/>
            <w:tcBorders>
              <w:top w:val="single" w:color="auto" w:sz="4" w:space="0"/>
              <w:left w:val="single" w:color="auto" w:sz="4" w:space="0"/>
              <w:bottom w:val="single" w:color="auto" w:sz="4" w:space="0"/>
              <w:right w:val="single" w:color="auto" w:sz="4" w:space="0"/>
            </w:tcBorders>
            <w:vAlign w:val="center"/>
          </w:tcPr>
          <w:p w14:paraId="32348977">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1、投标人通过ISO9001质量管理体系认证、ISO14001环境管理体系认证、ISO45001职业健康安全管理体系认证，且在有效期内的，每个得</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分，共</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分。</w:t>
            </w:r>
          </w:p>
          <w:p w14:paraId="41C667D1">
            <w:pPr>
              <w:widowControl/>
              <w:jc w:val="left"/>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【投标文件中须提供相关证明材料复印件，原件投标时一并递交，如未提供原件，则评标委员会不予认可。】</w:t>
            </w:r>
          </w:p>
          <w:p w14:paraId="1D6A33A3">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2、投标</w:t>
            </w:r>
            <w:r>
              <w:rPr>
                <w:rFonts w:hint="eastAsia" w:ascii="宋体" w:hAnsi="宋体" w:eastAsia="宋体" w:cs="宋体"/>
                <w:color w:val="000000"/>
                <w:sz w:val="24"/>
                <w:szCs w:val="24"/>
                <w:highlight w:val="none"/>
              </w:rPr>
              <w:t>人具有信息化和工业化融合的两化融合管理体系评定证书，得</w:t>
            </w: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rPr>
              <w:t>分。</w:t>
            </w:r>
          </w:p>
          <w:p w14:paraId="158AE8AF">
            <w:pPr>
              <w:widowControl/>
              <w:jc w:val="left"/>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【投标文件中须提供相关证明材料复印件，原件投标时一并递交，如未提供原件，则评标委员会不予认可。】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6BADCBCF">
            <w:pPr>
              <w:jc w:val="center"/>
              <w:rPr>
                <w:rFonts w:hint="default" w:ascii="宋体" w:hAnsi="宋体" w:eastAsia="宋体" w:cs="宋体"/>
                <w:sz w:val="24"/>
                <w:szCs w:val="24"/>
                <w:highlight w:val="none"/>
                <w:lang w:val="en-US" w:eastAsia="zh-CN"/>
              </w:rPr>
            </w:pPr>
          </w:p>
        </w:tc>
      </w:tr>
      <w:tr w14:paraId="29C1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30C702F3">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2A0177E4">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7E527664">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2B18A649">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p>
        </w:tc>
        <w:tc>
          <w:tcPr>
            <w:tcW w:w="5865" w:type="dxa"/>
            <w:tcBorders>
              <w:top w:val="single" w:color="auto" w:sz="4" w:space="0"/>
              <w:left w:val="single" w:color="auto" w:sz="4" w:space="0"/>
              <w:bottom w:val="single" w:color="auto" w:sz="4" w:space="0"/>
              <w:right w:val="single" w:color="auto" w:sz="4" w:space="0"/>
            </w:tcBorders>
            <w:vAlign w:val="center"/>
          </w:tcPr>
          <w:p w14:paraId="3B62A1C4">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投标人具有由专业的第三方评估机构颁发且在全国行业信用公共服务平台登记、公示的AAA级及以上信用评价证明的（网上可查，否则不予认可）或银行颁发的单位资信证明（近6个月），得</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w:t>
            </w:r>
          </w:p>
          <w:p w14:paraId="65D636D8">
            <w:pPr>
              <w:widowControl/>
              <w:jc w:val="left"/>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【本项最高得</w:t>
            </w:r>
            <w:r>
              <w:rPr>
                <w:rFonts w:hint="eastAsia" w:ascii="宋体" w:hAnsi="宋体" w:eastAsia="宋体" w:cs="宋体"/>
                <w:b/>
                <w:color w:val="000000"/>
                <w:sz w:val="24"/>
                <w:szCs w:val="24"/>
                <w:highlight w:val="none"/>
                <w:lang w:val="en-US" w:eastAsia="zh-CN"/>
              </w:rPr>
              <w:t>5</w:t>
            </w:r>
            <w:r>
              <w:rPr>
                <w:rFonts w:hint="eastAsia" w:ascii="宋体" w:hAnsi="宋体" w:eastAsia="宋体" w:cs="宋体"/>
                <w:b/>
                <w:color w:val="000000"/>
                <w:sz w:val="24"/>
                <w:szCs w:val="24"/>
                <w:highlight w:val="none"/>
              </w:rPr>
              <w:t>分，须提供证书复印件或网页截图等证明材料，原件投标时一并递交，否则不得分。】</w:t>
            </w:r>
          </w:p>
        </w:tc>
        <w:tc>
          <w:tcPr>
            <w:tcW w:w="1028" w:type="dxa"/>
            <w:tcBorders>
              <w:top w:val="single" w:color="auto" w:sz="4" w:space="0"/>
              <w:left w:val="single" w:color="auto" w:sz="4" w:space="0"/>
              <w:bottom w:val="single" w:color="auto" w:sz="4" w:space="0"/>
              <w:right w:val="single" w:color="auto" w:sz="4" w:space="0"/>
            </w:tcBorders>
            <w:vAlign w:val="center"/>
          </w:tcPr>
          <w:p w14:paraId="698C74E1">
            <w:pPr>
              <w:jc w:val="center"/>
              <w:rPr>
                <w:rFonts w:hint="eastAsia" w:ascii="宋体" w:hAnsi="宋体" w:eastAsia="宋体" w:cs="宋体"/>
                <w:sz w:val="24"/>
                <w:szCs w:val="24"/>
                <w:highlight w:val="none"/>
                <w:lang w:val="en-US" w:eastAsia="zh-CN"/>
              </w:rPr>
            </w:pPr>
          </w:p>
        </w:tc>
      </w:tr>
      <w:tr w14:paraId="0B55B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1BAA7992">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3EF8F0F3">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117523D1">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4225BE55">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p>
        </w:tc>
        <w:tc>
          <w:tcPr>
            <w:tcW w:w="5865" w:type="dxa"/>
            <w:tcBorders>
              <w:top w:val="single" w:color="auto" w:sz="4" w:space="0"/>
              <w:left w:val="single" w:color="auto" w:sz="4" w:space="0"/>
              <w:bottom w:val="single" w:color="auto" w:sz="4" w:space="0"/>
              <w:right w:val="single" w:color="auto" w:sz="4" w:space="0"/>
            </w:tcBorders>
            <w:vAlign w:val="center"/>
          </w:tcPr>
          <w:p w14:paraId="7107A69E">
            <w:pPr>
              <w:widowControl/>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投标人具有水利部综合事业局授权北京新华节水产品认证有限公司颁发的节水认证证书,得</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分。</w:t>
            </w:r>
          </w:p>
          <w:p w14:paraId="36685BE6">
            <w:pPr>
              <w:widowControl/>
              <w:jc w:val="left"/>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【投标文件中须提供证明材料复印件，原件投标时一并递交，如未提供原件，则评标委员会不予认可。】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7D2B0264">
            <w:pPr>
              <w:jc w:val="center"/>
              <w:rPr>
                <w:rFonts w:hint="eastAsia" w:ascii="宋体" w:hAnsi="宋体" w:eastAsia="宋体" w:cs="宋体"/>
                <w:sz w:val="24"/>
                <w:szCs w:val="24"/>
                <w:highlight w:val="none"/>
                <w:lang w:val="en-US" w:eastAsia="zh-CN"/>
              </w:rPr>
            </w:pPr>
          </w:p>
        </w:tc>
      </w:tr>
      <w:tr w14:paraId="1293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4460A9F9">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38817C67">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3AB79AF2">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4EE43772">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p>
        </w:tc>
        <w:tc>
          <w:tcPr>
            <w:tcW w:w="5865" w:type="dxa"/>
            <w:tcBorders>
              <w:top w:val="single" w:color="auto" w:sz="4" w:space="0"/>
              <w:left w:val="single" w:color="auto" w:sz="4" w:space="0"/>
              <w:bottom w:val="single" w:color="auto" w:sz="4" w:space="0"/>
              <w:right w:val="single" w:color="auto" w:sz="4" w:space="0"/>
            </w:tcBorders>
            <w:vAlign w:val="center"/>
          </w:tcPr>
          <w:p w14:paraId="1229E8E7">
            <w:pPr>
              <w:widowControl/>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投标人生产的成套供水设备获得绿色建筑节能推荐产品证书或获得中国节能产品认证证书（单独水泵无效）或投标人具有节能技术认定证书的，得</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分。</w:t>
            </w:r>
          </w:p>
          <w:p w14:paraId="019C3C4E">
            <w:pPr>
              <w:widowControl/>
              <w:jc w:val="left"/>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【投标文件中须提供证书复印件，原件投标时一并递交，如未提供原件，则评标委员会不予认可。】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729B4CC7">
            <w:pPr>
              <w:jc w:val="center"/>
              <w:rPr>
                <w:rFonts w:hint="eastAsia" w:ascii="宋体" w:hAnsi="宋体" w:eastAsia="宋体" w:cs="宋体"/>
                <w:sz w:val="24"/>
                <w:szCs w:val="24"/>
                <w:highlight w:val="none"/>
                <w:lang w:val="en-US" w:eastAsia="zh-CN"/>
              </w:rPr>
            </w:pPr>
          </w:p>
        </w:tc>
      </w:tr>
      <w:tr w14:paraId="10F6E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509EDE12">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2EF9C073">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66EA8BC5">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6E18BA12">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5865" w:type="dxa"/>
            <w:tcBorders>
              <w:top w:val="single" w:color="auto" w:sz="4" w:space="0"/>
              <w:left w:val="single" w:color="auto" w:sz="4" w:space="0"/>
              <w:bottom w:val="single" w:color="auto" w:sz="4" w:space="0"/>
              <w:right w:val="single" w:color="auto" w:sz="4" w:space="0"/>
            </w:tcBorders>
            <w:vAlign w:val="center"/>
          </w:tcPr>
          <w:p w14:paraId="0B408794">
            <w:pPr>
              <w:widowControl/>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投标人具有国家级二次供水相关技术研究中心的，得1分。</w:t>
            </w:r>
          </w:p>
          <w:p w14:paraId="77151AB4">
            <w:pPr>
              <w:widowControl/>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投标人具有较强的科研能力，参与国家科技重大专项项目课题研究的，得1分。</w:t>
            </w:r>
          </w:p>
          <w:p w14:paraId="0123EE37">
            <w:pPr>
              <w:widowControl/>
              <w:jc w:val="left"/>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【投标文件中须提供相关证明材料复印件，原件投标时一并递交，如未提供原件，则评标委员会不予认可。】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32CF01BA">
            <w:pPr>
              <w:jc w:val="center"/>
              <w:rPr>
                <w:rFonts w:hint="eastAsia" w:ascii="宋体" w:hAnsi="宋体" w:eastAsia="宋体" w:cs="宋体"/>
                <w:sz w:val="24"/>
                <w:szCs w:val="24"/>
                <w:highlight w:val="none"/>
              </w:rPr>
            </w:pPr>
          </w:p>
        </w:tc>
      </w:tr>
      <w:tr w14:paraId="15B41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restart"/>
            <w:tcBorders>
              <w:top w:val="single" w:color="auto" w:sz="4" w:space="0"/>
              <w:left w:val="single" w:color="auto" w:sz="4" w:space="0"/>
              <w:right w:val="single" w:color="auto" w:sz="4" w:space="0"/>
            </w:tcBorders>
            <w:vAlign w:val="center"/>
          </w:tcPr>
          <w:p w14:paraId="0049543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客观评审因素</w:t>
            </w:r>
          </w:p>
        </w:tc>
        <w:tc>
          <w:tcPr>
            <w:tcW w:w="501" w:type="dxa"/>
            <w:vMerge w:val="restart"/>
            <w:tcBorders>
              <w:top w:val="single" w:color="auto" w:sz="4" w:space="0"/>
              <w:left w:val="single" w:color="auto" w:sz="4" w:space="0"/>
              <w:right w:val="single" w:color="auto" w:sz="4" w:space="0"/>
            </w:tcBorders>
            <w:vAlign w:val="center"/>
          </w:tcPr>
          <w:p w14:paraId="5D659F9D">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674" w:type="dxa"/>
            <w:vMerge w:val="restart"/>
            <w:tcBorders>
              <w:top w:val="single" w:color="auto" w:sz="4" w:space="0"/>
              <w:left w:val="single" w:color="auto" w:sz="4" w:space="0"/>
              <w:right w:val="single" w:color="auto" w:sz="4" w:space="0"/>
            </w:tcBorders>
            <w:vAlign w:val="center"/>
          </w:tcPr>
          <w:p w14:paraId="4E297DA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产品功能及工艺</w:t>
            </w:r>
          </w:p>
        </w:tc>
        <w:tc>
          <w:tcPr>
            <w:tcW w:w="525" w:type="dxa"/>
            <w:tcBorders>
              <w:top w:val="single" w:color="auto" w:sz="4" w:space="0"/>
              <w:left w:val="single" w:color="auto" w:sz="4" w:space="0"/>
              <w:bottom w:val="single" w:color="auto" w:sz="4" w:space="0"/>
              <w:right w:val="single" w:color="auto" w:sz="4" w:space="0"/>
            </w:tcBorders>
            <w:vAlign w:val="center"/>
          </w:tcPr>
          <w:p w14:paraId="75AED555">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5865" w:type="dxa"/>
            <w:tcBorders>
              <w:top w:val="single" w:color="auto" w:sz="4" w:space="0"/>
              <w:left w:val="single" w:color="auto" w:sz="4" w:space="0"/>
              <w:bottom w:val="single" w:color="auto" w:sz="4" w:space="0"/>
              <w:right w:val="single" w:color="auto" w:sz="4" w:space="0"/>
            </w:tcBorders>
            <w:vAlign w:val="center"/>
          </w:tcPr>
          <w:p w14:paraId="62D6D09A">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1、投标人生产的投标设备具备无负压功能，须提供国家知识产权局颁发的成套无负压供水设备国家级发明专利证书和功能性说明(附无负压成套设备专利原理图)，得3分；提供国家知识产权局颁发的成套无负压供水设备实用新型专利证书和功能性说明(附无负压成套设备专利原理图)其响应的得2分。</w:t>
            </w:r>
          </w:p>
          <w:p w14:paraId="07F46DE4">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2、投标人生产的无负压设备部件具有国家知识产权局颁发的国家级发明专利或实用新型专利5项以上（不含5项）的证书和功能性说明(附设备专利原理图)，其响应的得2分。</w:t>
            </w:r>
          </w:p>
          <w:p w14:paraId="7902345C">
            <w:pPr>
              <w:widowControl/>
              <w:jc w:val="left"/>
              <w:textAlignment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【1、2两项相加最高得5分。（发明专利不含实用新型，投标文件中须提供相关材料复印件，原件投标时一并递交，如未提供，则评标委员会不予认可）】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651AE3A3">
            <w:pPr>
              <w:jc w:val="center"/>
              <w:rPr>
                <w:rFonts w:hint="eastAsia" w:ascii="宋体" w:hAnsi="宋体" w:eastAsia="宋体" w:cs="宋体"/>
                <w:sz w:val="24"/>
                <w:szCs w:val="24"/>
                <w:highlight w:val="none"/>
              </w:rPr>
            </w:pPr>
          </w:p>
        </w:tc>
      </w:tr>
      <w:tr w14:paraId="4A066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2FC91ED0">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418F221C">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058CF3CC">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11DDFB6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5865" w:type="dxa"/>
            <w:tcBorders>
              <w:top w:val="single" w:color="auto" w:sz="4" w:space="0"/>
              <w:left w:val="single" w:color="auto" w:sz="4" w:space="0"/>
              <w:bottom w:val="single" w:color="auto" w:sz="4" w:space="0"/>
              <w:right w:val="single" w:color="auto" w:sz="4" w:space="0"/>
            </w:tcBorders>
            <w:vAlign w:val="center"/>
          </w:tcPr>
          <w:p w14:paraId="6A5424C2">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生产的成套供水设备各零部件应采用优秀的生产加工工艺和科学先进的生产管理、质量控制，在本次招标产品的核心加工（切割、折弯、卷板及自动化焊接集成）工艺上，生产厂家需达到国内先进水平，以达到国际先进水平为优。</w:t>
            </w:r>
          </w:p>
          <w:p w14:paraId="28DF81E9">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切割工艺（本项最多得2分）：采用等离子或水刀切割的，得1分；全自动立体激光切割的，采用国内一线品牌切割设备（深圳大族、济南森峰、武汉</w:t>
            </w:r>
            <w:r>
              <w:rPr>
                <w:rFonts w:hint="eastAsia" w:ascii="宋体" w:hAnsi="宋体" w:eastAsia="宋体" w:cs="宋体"/>
                <w:sz w:val="24"/>
                <w:szCs w:val="24"/>
                <w:highlight w:val="none"/>
                <w:lang w:val="en-US" w:eastAsia="zh-CN"/>
              </w:rPr>
              <w:t>法利莱</w:t>
            </w:r>
            <w:r>
              <w:rPr>
                <w:rFonts w:hint="eastAsia" w:ascii="宋体" w:hAnsi="宋体" w:eastAsia="宋体" w:cs="宋体"/>
                <w:sz w:val="24"/>
                <w:szCs w:val="24"/>
                <w:highlight w:val="none"/>
              </w:rPr>
              <w:t>），得1.5分；全自动立体激光切割的，切割机采用国际顶尖品牌（德国通快、日本马扎克、意大利普瑞玛、奔腾、美国飞马特）的，得2分。</w:t>
            </w:r>
          </w:p>
          <w:p w14:paraId="3E827082">
            <w:pPr>
              <w:widowControl/>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焊接工艺（本项最多得2分）：投标人采用普通焊接或氩弧焊接工艺的，得1分；全自动机器焊接，采用国内一线品牌（梅塞尔、通快、大族 、苏州迅镭）,得1.5分；焊机采用国际顶尖品牌（美国林肯、奥地利福尼斯、德国伊达、德国乐驰、法国沙孚ALW、美国飞马特）的，得2分。</w:t>
            </w:r>
          </w:p>
          <w:p w14:paraId="3A492267">
            <w:pPr>
              <w:pStyle w:val="2"/>
              <w:rPr>
                <w:rFonts w:hint="eastAsia"/>
                <w:color w:val="0000FF"/>
                <w:sz w:val="21"/>
                <w:szCs w:val="21"/>
              </w:rPr>
            </w:pPr>
            <w:r>
              <w:rPr>
                <w:rFonts w:hAnsi="宋体"/>
                <w:bCs/>
                <w:color w:val="0000FF"/>
                <w:sz w:val="21"/>
                <w:szCs w:val="22"/>
                <w:highlight w:val="none"/>
              </w:rPr>
              <w:t>注：除以上明确的品牌外，欢迎其他在品牌知名度、信誉度、质量、性能、技术指标等方面不低于上述品牌的产品参加，但必须在</w:t>
            </w:r>
            <w:r>
              <w:rPr>
                <w:rFonts w:hint="eastAsia" w:hAnsi="宋体"/>
                <w:bCs/>
                <w:color w:val="0000FF"/>
                <w:sz w:val="21"/>
                <w:szCs w:val="22"/>
                <w:highlight w:val="none"/>
                <w:lang w:eastAsia="zh-CN"/>
              </w:rPr>
              <w:t>2025年</w:t>
            </w:r>
            <w:r>
              <w:rPr>
                <w:rFonts w:hint="eastAsia" w:hAnsi="宋体"/>
                <w:bCs/>
                <w:color w:val="0000FF"/>
                <w:sz w:val="21"/>
                <w:szCs w:val="22"/>
                <w:highlight w:val="yellow"/>
                <w:u w:val="single" w:color="auto"/>
                <w:lang w:val="en-US" w:eastAsia="zh-CN"/>
              </w:rPr>
              <w:t>9</w:t>
            </w:r>
            <w:r>
              <w:rPr>
                <w:rFonts w:hAnsi="宋体"/>
                <w:bCs/>
                <w:color w:val="0000FF"/>
                <w:sz w:val="21"/>
                <w:szCs w:val="22"/>
                <w:highlight w:val="yellow"/>
              </w:rPr>
              <w:t>月</w:t>
            </w:r>
            <w:r>
              <w:rPr>
                <w:rFonts w:hint="eastAsia" w:hAnsi="宋体"/>
                <w:bCs/>
                <w:color w:val="0000FF"/>
                <w:sz w:val="21"/>
                <w:szCs w:val="22"/>
                <w:highlight w:val="yellow"/>
                <w:u w:val="single" w:color="auto"/>
                <w:lang w:val="en-US" w:eastAsia="zh-CN"/>
              </w:rPr>
              <w:t>25</w:t>
            </w:r>
            <w:r>
              <w:rPr>
                <w:rFonts w:hAnsi="宋体"/>
                <w:bCs/>
                <w:color w:val="0000FF"/>
                <w:sz w:val="21"/>
                <w:szCs w:val="22"/>
                <w:highlight w:val="yellow"/>
              </w:rPr>
              <w:t>日</w:t>
            </w:r>
            <w:r>
              <w:rPr>
                <w:rFonts w:hint="eastAsia" w:hAnsi="宋体"/>
                <w:bCs/>
                <w:color w:val="0000FF"/>
                <w:sz w:val="21"/>
                <w:szCs w:val="22"/>
                <w:highlight w:val="none"/>
              </w:rPr>
              <w:t>下午</w:t>
            </w:r>
            <w:r>
              <w:rPr>
                <w:rFonts w:hAnsi="宋体"/>
                <w:bCs/>
                <w:color w:val="0000FF"/>
                <w:sz w:val="21"/>
                <w:szCs w:val="22"/>
                <w:highlight w:val="none"/>
              </w:rPr>
              <w:t>4</w:t>
            </w:r>
            <w:r>
              <w:rPr>
                <w:rFonts w:hint="eastAsia" w:hAnsi="宋体"/>
                <w:bCs/>
                <w:color w:val="0000FF"/>
                <w:sz w:val="21"/>
                <w:szCs w:val="22"/>
                <w:highlight w:val="none"/>
              </w:rPr>
              <w:t>:00</w:t>
            </w:r>
            <w:r>
              <w:rPr>
                <w:rFonts w:hAnsi="宋体"/>
                <w:bCs/>
                <w:color w:val="0000FF"/>
                <w:sz w:val="21"/>
                <w:szCs w:val="22"/>
                <w:highlight w:val="none"/>
              </w:rPr>
              <w:t>前，以书面形式（加盖公章）向</w:t>
            </w:r>
            <w:r>
              <w:rPr>
                <w:rFonts w:hint="eastAsia" w:hAnsi="宋体"/>
                <w:bCs/>
                <w:color w:val="0000FF"/>
                <w:sz w:val="21"/>
                <w:szCs w:val="22"/>
                <w:highlight w:val="none"/>
              </w:rPr>
              <w:t>采购人</w:t>
            </w:r>
            <w:r>
              <w:rPr>
                <w:rFonts w:hAnsi="宋体"/>
                <w:bCs/>
                <w:color w:val="0000FF"/>
                <w:sz w:val="21"/>
                <w:szCs w:val="22"/>
                <w:highlight w:val="none"/>
              </w:rPr>
              <w:t>提出，并附产品详细技术参数，并证明所投品牌的技术需求和性能与参照品牌同档次或高于参照品牌档次，征得</w:t>
            </w:r>
            <w:r>
              <w:rPr>
                <w:rFonts w:hint="eastAsia" w:hAnsi="宋体"/>
                <w:bCs/>
                <w:color w:val="0000FF"/>
                <w:sz w:val="21"/>
                <w:szCs w:val="22"/>
                <w:highlight w:val="none"/>
              </w:rPr>
              <w:t>采购人</w:t>
            </w:r>
            <w:r>
              <w:rPr>
                <w:rFonts w:hAnsi="宋体"/>
                <w:bCs/>
                <w:color w:val="0000FF"/>
                <w:sz w:val="21"/>
                <w:szCs w:val="22"/>
                <w:highlight w:val="none"/>
              </w:rPr>
              <w:t>的认可并在</w:t>
            </w:r>
            <w:r>
              <w:rPr>
                <w:rFonts w:hint="eastAsia" w:hAnsi="宋体"/>
                <w:bCs/>
                <w:color w:val="0000FF"/>
                <w:sz w:val="21"/>
                <w:szCs w:val="22"/>
                <w:highlight w:val="none"/>
              </w:rPr>
              <w:t>更正公告</w:t>
            </w:r>
            <w:r>
              <w:rPr>
                <w:rFonts w:hAnsi="宋体"/>
                <w:bCs/>
                <w:color w:val="0000FF"/>
                <w:sz w:val="21"/>
                <w:szCs w:val="22"/>
                <w:highlight w:val="none"/>
              </w:rPr>
              <w:t>中公布后才可</w:t>
            </w:r>
            <w:r>
              <w:rPr>
                <w:rFonts w:hint="eastAsia" w:hAnsi="宋体"/>
                <w:bCs/>
                <w:color w:val="0000FF"/>
                <w:sz w:val="21"/>
                <w:szCs w:val="22"/>
                <w:highlight w:val="none"/>
                <w:lang w:val="en-US" w:eastAsia="zh-CN"/>
              </w:rPr>
              <w:t>得分</w:t>
            </w:r>
            <w:r>
              <w:rPr>
                <w:rFonts w:hAnsi="宋体"/>
                <w:bCs/>
                <w:color w:val="0000FF"/>
                <w:sz w:val="21"/>
                <w:szCs w:val="22"/>
                <w:highlight w:val="none"/>
              </w:rPr>
              <w:t>。</w:t>
            </w:r>
          </w:p>
          <w:p w14:paraId="4E5F0189">
            <w:pPr>
              <w:widowControl/>
              <w:jc w:val="left"/>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【提供设备照片、采购合同及发票等证明材料的复印件，</w:t>
            </w:r>
            <w:r>
              <w:rPr>
                <w:rFonts w:hint="eastAsia" w:ascii="宋体" w:hAnsi="宋体" w:eastAsia="宋体" w:cs="宋体"/>
                <w:b/>
                <w:color w:val="000000"/>
                <w:sz w:val="24"/>
                <w:szCs w:val="24"/>
                <w:highlight w:val="none"/>
              </w:rPr>
              <w:t>原件投标时一并递交，如未提供原件，则评标委员会不予认可。</w:t>
            </w:r>
            <w:r>
              <w:rPr>
                <w:rFonts w:hint="eastAsia" w:ascii="宋体" w:hAnsi="宋体" w:eastAsia="宋体" w:cs="宋体"/>
                <w:b/>
                <w:sz w:val="24"/>
                <w:szCs w:val="24"/>
                <w:highlight w:val="none"/>
              </w:rPr>
              <w:t>】</w:t>
            </w:r>
          </w:p>
        </w:tc>
        <w:tc>
          <w:tcPr>
            <w:tcW w:w="1028" w:type="dxa"/>
            <w:tcBorders>
              <w:top w:val="single" w:color="auto" w:sz="4" w:space="0"/>
              <w:left w:val="single" w:color="auto" w:sz="4" w:space="0"/>
              <w:bottom w:val="single" w:color="auto" w:sz="4" w:space="0"/>
              <w:right w:val="single" w:color="auto" w:sz="4" w:space="0"/>
            </w:tcBorders>
            <w:vAlign w:val="center"/>
          </w:tcPr>
          <w:p w14:paraId="55B8A655">
            <w:pPr>
              <w:jc w:val="center"/>
              <w:rPr>
                <w:rFonts w:hint="eastAsia" w:ascii="宋体" w:hAnsi="宋体" w:eastAsia="宋体" w:cs="宋体"/>
                <w:sz w:val="24"/>
                <w:szCs w:val="24"/>
                <w:highlight w:val="none"/>
              </w:rPr>
            </w:pPr>
          </w:p>
        </w:tc>
      </w:tr>
      <w:tr w14:paraId="17473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restart"/>
            <w:tcBorders>
              <w:top w:val="single" w:color="auto" w:sz="4" w:space="0"/>
              <w:left w:val="single" w:color="auto" w:sz="4" w:space="0"/>
              <w:right w:val="single" w:color="auto" w:sz="4" w:space="0"/>
            </w:tcBorders>
            <w:vAlign w:val="center"/>
          </w:tcPr>
          <w:p w14:paraId="72889818">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客观评审因素</w:t>
            </w:r>
          </w:p>
        </w:tc>
        <w:tc>
          <w:tcPr>
            <w:tcW w:w="501" w:type="dxa"/>
            <w:vMerge w:val="restart"/>
            <w:tcBorders>
              <w:left w:val="single" w:color="auto" w:sz="4" w:space="0"/>
              <w:right w:val="single" w:color="auto" w:sz="4" w:space="0"/>
            </w:tcBorders>
            <w:vAlign w:val="center"/>
          </w:tcPr>
          <w:p w14:paraId="706A827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674" w:type="dxa"/>
            <w:vMerge w:val="restart"/>
            <w:tcBorders>
              <w:left w:val="single" w:color="auto" w:sz="4" w:space="0"/>
              <w:right w:val="single" w:color="auto" w:sz="4" w:space="0"/>
            </w:tcBorders>
            <w:vAlign w:val="center"/>
          </w:tcPr>
          <w:p w14:paraId="1781A2EE">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产品功能及工艺</w:t>
            </w:r>
          </w:p>
        </w:tc>
        <w:tc>
          <w:tcPr>
            <w:tcW w:w="525" w:type="dxa"/>
            <w:tcBorders>
              <w:top w:val="single" w:color="auto" w:sz="4" w:space="0"/>
              <w:left w:val="single" w:color="auto" w:sz="4" w:space="0"/>
              <w:bottom w:val="single" w:color="auto" w:sz="4" w:space="0"/>
              <w:right w:val="single" w:color="auto" w:sz="4" w:space="0"/>
            </w:tcBorders>
            <w:vAlign w:val="center"/>
          </w:tcPr>
          <w:p w14:paraId="183A901A">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5865" w:type="dxa"/>
            <w:tcBorders>
              <w:top w:val="single" w:color="auto" w:sz="4" w:space="0"/>
              <w:left w:val="single" w:color="auto" w:sz="4" w:space="0"/>
              <w:bottom w:val="single" w:color="auto" w:sz="4" w:space="0"/>
              <w:right w:val="single" w:color="auto" w:sz="4" w:space="0"/>
            </w:tcBorders>
          </w:tcPr>
          <w:p w14:paraId="090ADD1B">
            <w:pPr>
              <w:pStyle w:val="17"/>
              <w:tabs>
                <w:tab w:val="left" w:pos="2475"/>
                <w:tab w:val="center" w:pos="4873"/>
              </w:tabs>
              <w:spacing w:line="300" w:lineRule="exact"/>
              <w:outlineLvl w:val="0"/>
              <w:rPr>
                <w:rFonts w:hint="eastAsia" w:ascii="宋体" w:hAnsi="宋体" w:eastAsia="宋体" w:cs="宋体"/>
                <w:b/>
                <w:sz w:val="24"/>
                <w:szCs w:val="24"/>
                <w:highlight w:val="none"/>
              </w:rPr>
            </w:pPr>
            <w:bookmarkStart w:id="33" w:name="_Toc37432252"/>
            <w:r>
              <w:rPr>
                <w:rFonts w:hint="eastAsia" w:ascii="宋体" w:hAnsi="宋体" w:eastAsia="宋体" w:cs="宋体"/>
                <w:kern w:val="0"/>
                <w:sz w:val="24"/>
                <w:szCs w:val="24"/>
                <w:highlight w:val="none"/>
              </w:rPr>
              <w:t>投标人生产的投标设备应具有超压保护功能及出现因出水管网爆管等原因造成的泄压时自动检测和反馈低压值，并发出报警，设备保护性停机，低压解除后设备能自动投入运行。应能保证设备在运行过程中出现超压时自动停止运行并报警，超压消除后能自动恢复正常运行。能够提供国家级专利证书或检测报告等材料来证明其响应的得2分。</w:t>
            </w:r>
            <w:bookmarkEnd w:id="33"/>
          </w:p>
          <w:p w14:paraId="7119EFAE">
            <w:pPr>
              <w:pStyle w:val="17"/>
              <w:tabs>
                <w:tab w:val="left" w:pos="2475"/>
                <w:tab w:val="center" w:pos="4873"/>
              </w:tabs>
              <w:spacing w:line="300" w:lineRule="exact"/>
              <w:outlineLvl w:val="0"/>
              <w:rPr>
                <w:rFonts w:hint="eastAsia" w:ascii="宋体" w:hAnsi="宋体" w:eastAsia="宋体" w:cs="宋体"/>
                <w:sz w:val="24"/>
                <w:szCs w:val="24"/>
                <w:highlight w:val="none"/>
              </w:rPr>
            </w:pPr>
            <w:bookmarkStart w:id="34" w:name="_Toc37432253"/>
            <w:r>
              <w:rPr>
                <w:rFonts w:hint="eastAsia" w:ascii="宋体" w:hAnsi="宋体" w:eastAsia="宋体" w:cs="宋体"/>
                <w:b/>
                <w:sz w:val="24"/>
                <w:szCs w:val="24"/>
                <w:highlight w:val="none"/>
              </w:rPr>
              <w:t>【投标文件中须提供相关证明材料复印件，原件投标时一并递交，如未提供原件，则评标委员会不予认可。】</w:t>
            </w:r>
            <w:bookmarkEnd w:id="34"/>
          </w:p>
        </w:tc>
        <w:tc>
          <w:tcPr>
            <w:tcW w:w="1028" w:type="dxa"/>
            <w:tcBorders>
              <w:top w:val="single" w:color="auto" w:sz="4" w:space="0"/>
              <w:left w:val="single" w:color="auto" w:sz="4" w:space="0"/>
              <w:bottom w:val="single" w:color="auto" w:sz="4" w:space="0"/>
              <w:right w:val="single" w:color="auto" w:sz="4" w:space="0"/>
            </w:tcBorders>
            <w:vAlign w:val="center"/>
          </w:tcPr>
          <w:p w14:paraId="7DAE78A8">
            <w:pPr>
              <w:jc w:val="center"/>
              <w:rPr>
                <w:rFonts w:hint="eastAsia" w:ascii="宋体" w:hAnsi="宋体" w:eastAsia="宋体" w:cs="宋体"/>
                <w:sz w:val="24"/>
                <w:szCs w:val="24"/>
                <w:highlight w:val="none"/>
              </w:rPr>
            </w:pPr>
          </w:p>
        </w:tc>
      </w:tr>
      <w:tr w14:paraId="553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382D819D">
            <w:pPr>
              <w:jc w:val="center"/>
              <w:rPr>
                <w:rFonts w:hint="eastAsia" w:ascii="宋体" w:hAnsi="宋体" w:eastAsia="宋体" w:cs="宋体"/>
                <w:sz w:val="24"/>
                <w:szCs w:val="24"/>
                <w:highlight w:val="none"/>
              </w:rPr>
            </w:pPr>
          </w:p>
        </w:tc>
        <w:tc>
          <w:tcPr>
            <w:tcW w:w="501" w:type="dxa"/>
            <w:vMerge w:val="continue"/>
            <w:tcBorders>
              <w:left w:val="single" w:color="auto" w:sz="4" w:space="0"/>
              <w:bottom w:val="single" w:color="auto" w:sz="4" w:space="0"/>
              <w:right w:val="single" w:color="auto" w:sz="4" w:space="0"/>
            </w:tcBorders>
            <w:vAlign w:val="center"/>
          </w:tcPr>
          <w:p w14:paraId="0F38C606">
            <w:pPr>
              <w:jc w:val="center"/>
              <w:rPr>
                <w:rFonts w:hint="eastAsia" w:ascii="宋体" w:hAnsi="宋体" w:eastAsia="宋体" w:cs="宋体"/>
                <w:sz w:val="24"/>
                <w:szCs w:val="24"/>
                <w:highlight w:val="none"/>
              </w:rPr>
            </w:pPr>
          </w:p>
        </w:tc>
        <w:tc>
          <w:tcPr>
            <w:tcW w:w="674" w:type="dxa"/>
            <w:vMerge w:val="continue"/>
            <w:tcBorders>
              <w:left w:val="single" w:color="auto" w:sz="4" w:space="0"/>
              <w:bottom w:val="single" w:color="auto" w:sz="4" w:space="0"/>
              <w:right w:val="single" w:color="auto" w:sz="4" w:space="0"/>
            </w:tcBorders>
            <w:vAlign w:val="center"/>
          </w:tcPr>
          <w:p w14:paraId="7D98C2EE">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028940C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5865" w:type="dxa"/>
            <w:tcBorders>
              <w:top w:val="single" w:color="auto" w:sz="4" w:space="0"/>
              <w:left w:val="single" w:color="auto" w:sz="4" w:space="0"/>
              <w:bottom w:val="single" w:color="auto" w:sz="4" w:space="0"/>
              <w:right w:val="single" w:color="auto" w:sz="4" w:space="0"/>
            </w:tcBorders>
          </w:tcPr>
          <w:p w14:paraId="0D458551">
            <w:pPr>
              <w:pStyle w:val="17"/>
              <w:tabs>
                <w:tab w:val="left" w:pos="2475"/>
                <w:tab w:val="center" w:pos="4873"/>
              </w:tabs>
              <w:spacing w:line="300" w:lineRule="exact"/>
              <w:outlineLvl w:val="0"/>
              <w:rPr>
                <w:rFonts w:hint="eastAsia" w:ascii="宋体" w:hAnsi="宋体" w:eastAsia="宋体" w:cs="宋体"/>
                <w:sz w:val="24"/>
                <w:szCs w:val="24"/>
                <w:highlight w:val="none"/>
              </w:rPr>
            </w:pPr>
            <w:bookmarkStart w:id="35" w:name="_Toc37432254"/>
            <w:r>
              <w:rPr>
                <w:rFonts w:hint="eastAsia" w:ascii="宋体" w:hAnsi="宋体" w:eastAsia="宋体" w:cs="宋体"/>
                <w:kern w:val="0"/>
                <w:sz w:val="24"/>
                <w:szCs w:val="24"/>
                <w:highlight w:val="none"/>
              </w:rPr>
              <w:t>受限泵房的工况，为降低设备故障率，对供水设备</w:t>
            </w:r>
            <w:r>
              <w:rPr>
                <w:rFonts w:hint="eastAsia" w:ascii="宋体" w:hAnsi="宋体" w:eastAsia="宋体" w:cs="宋体"/>
                <w:sz w:val="24"/>
                <w:szCs w:val="24"/>
                <w:highlight w:val="none"/>
              </w:rPr>
              <w:t>控制柜防尘防水有严格的要求：投标人提供无负压设备控制柜IP54及以上防护等级检验报告得2分。</w:t>
            </w:r>
            <w:bookmarkEnd w:id="35"/>
          </w:p>
          <w:p w14:paraId="1DAA877B">
            <w:pPr>
              <w:pStyle w:val="17"/>
              <w:tabs>
                <w:tab w:val="left" w:pos="2475"/>
                <w:tab w:val="center" w:pos="4873"/>
              </w:tabs>
              <w:spacing w:line="300" w:lineRule="exact"/>
              <w:outlineLvl w:val="0"/>
              <w:rPr>
                <w:rFonts w:hint="eastAsia" w:ascii="宋体" w:hAnsi="宋体" w:eastAsia="宋体" w:cs="宋体"/>
                <w:kern w:val="0"/>
                <w:sz w:val="24"/>
                <w:szCs w:val="24"/>
                <w:highlight w:val="none"/>
              </w:rPr>
            </w:pPr>
            <w:bookmarkStart w:id="36" w:name="_Toc37432255"/>
            <w:r>
              <w:rPr>
                <w:rFonts w:hint="eastAsia" w:ascii="宋体" w:hAnsi="宋体" w:eastAsia="宋体" w:cs="宋体"/>
                <w:b/>
                <w:sz w:val="24"/>
                <w:szCs w:val="24"/>
                <w:highlight w:val="none"/>
              </w:rPr>
              <w:t>【投标文件中须提供相关证明材料复印件，原件投标时一并递交，如未提供原件，则评标委员会不予认可。】</w:t>
            </w:r>
            <w:bookmarkEnd w:id="36"/>
          </w:p>
        </w:tc>
        <w:tc>
          <w:tcPr>
            <w:tcW w:w="1028" w:type="dxa"/>
            <w:tcBorders>
              <w:top w:val="single" w:color="auto" w:sz="4" w:space="0"/>
              <w:left w:val="single" w:color="auto" w:sz="4" w:space="0"/>
              <w:bottom w:val="single" w:color="auto" w:sz="4" w:space="0"/>
              <w:right w:val="single" w:color="auto" w:sz="4" w:space="0"/>
            </w:tcBorders>
            <w:vAlign w:val="center"/>
          </w:tcPr>
          <w:p w14:paraId="7F31DB93">
            <w:pPr>
              <w:jc w:val="center"/>
              <w:rPr>
                <w:rFonts w:hint="eastAsia" w:ascii="宋体" w:hAnsi="宋体" w:eastAsia="宋体" w:cs="宋体"/>
                <w:sz w:val="24"/>
                <w:szCs w:val="24"/>
                <w:highlight w:val="none"/>
              </w:rPr>
            </w:pPr>
          </w:p>
        </w:tc>
      </w:tr>
      <w:tr w14:paraId="2C13A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9" w:type="dxa"/>
            <w:vMerge w:val="continue"/>
            <w:tcBorders>
              <w:left w:val="single" w:color="auto" w:sz="4" w:space="0"/>
              <w:right w:val="single" w:color="auto" w:sz="4" w:space="0"/>
            </w:tcBorders>
            <w:vAlign w:val="center"/>
          </w:tcPr>
          <w:p w14:paraId="64D16AC4">
            <w:pPr>
              <w:jc w:val="center"/>
              <w:rPr>
                <w:rFonts w:hint="eastAsia" w:ascii="宋体" w:hAnsi="宋体" w:eastAsia="宋体" w:cs="宋体"/>
                <w:sz w:val="24"/>
                <w:szCs w:val="24"/>
                <w:highlight w:val="none"/>
              </w:rPr>
            </w:pPr>
          </w:p>
        </w:tc>
        <w:tc>
          <w:tcPr>
            <w:tcW w:w="501" w:type="dxa"/>
            <w:vMerge w:val="restart"/>
            <w:tcBorders>
              <w:top w:val="single" w:color="auto" w:sz="4" w:space="0"/>
              <w:left w:val="single" w:color="auto" w:sz="4" w:space="0"/>
              <w:right w:val="single" w:color="auto" w:sz="4" w:space="0"/>
            </w:tcBorders>
            <w:vAlign w:val="center"/>
          </w:tcPr>
          <w:p w14:paraId="6B629337">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674" w:type="dxa"/>
            <w:vMerge w:val="restart"/>
            <w:tcBorders>
              <w:top w:val="single" w:color="auto" w:sz="4" w:space="0"/>
              <w:left w:val="single" w:color="auto" w:sz="4" w:space="0"/>
              <w:right w:val="single" w:color="auto" w:sz="4" w:space="0"/>
            </w:tcBorders>
            <w:vAlign w:val="center"/>
          </w:tcPr>
          <w:p w14:paraId="64F3ED5B">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售后</w:t>
            </w:r>
          </w:p>
          <w:p w14:paraId="4ED7DA0B">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服务</w:t>
            </w:r>
          </w:p>
        </w:tc>
        <w:tc>
          <w:tcPr>
            <w:tcW w:w="525" w:type="dxa"/>
            <w:tcBorders>
              <w:top w:val="single" w:color="auto" w:sz="4" w:space="0"/>
              <w:left w:val="single" w:color="auto" w:sz="4" w:space="0"/>
              <w:bottom w:val="single" w:color="auto" w:sz="4" w:space="0"/>
              <w:right w:val="single" w:color="auto" w:sz="4" w:space="0"/>
            </w:tcBorders>
            <w:vAlign w:val="center"/>
          </w:tcPr>
          <w:p w14:paraId="7E0E0F8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5865" w:type="dxa"/>
            <w:tcBorders>
              <w:top w:val="single" w:color="auto" w:sz="4" w:space="0"/>
              <w:left w:val="single" w:color="auto" w:sz="4" w:space="0"/>
              <w:bottom w:val="single" w:color="auto" w:sz="4" w:space="0"/>
              <w:right w:val="single" w:color="auto" w:sz="4" w:space="0"/>
            </w:tcBorders>
            <w:vAlign w:val="center"/>
          </w:tcPr>
          <w:p w14:paraId="2C55C0AD">
            <w:pPr>
              <w:widowControl/>
              <w:textAlignment w:val="center"/>
              <w:rPr>
                <w:rFonts w:hint="eastAsia" w:ascii="宋体" w:hAnsi="宋体" w:eastAsia="宋体" w:cs="宋体"/>
                <w:b/>
                <w:sz w:val="24"/>
                <w:szCs w:val="24"/>
                <w:highlight w:val="none"/>
              </w:rPr>
            </w:pPr>
            <w:r>
              <w:rPr>
                <w:rFonts w:hint="eastAsia" w:ascii="宋体" w:hAnsi="宋体" w:eastAsia="宋体" w:cs="宋体"/>
                <w:sz w:val="24"/>
                <w:szCs w:val="24"/>
                <w:highlight w:val="none"/>
              </w:rPr>
              <w:t>投标人具备七星级及以上售后服务认证证书，且在有效期内的，得2分；</w:t>
            </w:r>
          </w:p>
          <w:p w14:paraId="0CF4781D">
            <w:pPr>
              <w:widowControl/>
              <w:textAlignment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【投标文件中须提供相关证明材料复印件，原件投标时一并递交，如未提供原件 ，则评标委员会不予认可。】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5E7A62A4">
            <w:pPr>
              <w:jc w:val="center"/>
              <w:rPr>
                <w:rFonts w:hint="eastAsia" w:ascii="宋体" w:hAnsi="宋体" w:eastAsia="宋体" w:cs="宋体"/>
                <w:sz w:val="24"/>
                <w:szCs w:val="24"/>
                <w:highlight w:val="none"/>
              </w:rPr>
            </w:pPr>
          </w:p>
        </w:tc>
      </w:tr>
      <w:tr w14:paraId="6FBE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41DC387C">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36053537">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17678195">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6D3B02EB">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5865" w:type="dxa"/>
            <w:tcBorders>
              <w:top w:val="single" w:color="auto" w:sz="4" w:space="0"/>
              <w:left w:val="single" w:color="auto" w:sz="4" w:space="0"/>
              <w:bottom w:val="single" w:color="auto" w:sz="4" w:space="0"/>
              <w:right w:val="single" w:color="auto" w:sz="4" w:space="0"/>
            </w:tcBorders>
            <w:vAlign w:val="center"/>
          </w:tcPr>
          <w:p w14:paraId="5CE3938F">
            <w:pPr>
              <w:widowControl/>
              <w:textAlignment w:val="center"/>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投标单位在周边地区设有售后服务网点、售后服务机构且有专业维修人员为设备提供终身服务，并能在半个小时响应，2个小时内到位提供服务和维修，并能出具20</w:t>
            </w: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rPr>
              <w:t>年以来5个不同城市水司的售后服务良好记录得</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分。</w:t>
            </w:r>
          </w:p>
          <w:p w14:paraId="6053B373">
            <w:pPr>
              <w:widowControl/>
              <w:textAlignment w:val="center"/>
              <w:rPr>
                <w:rFonts w:hint="eastAsia" w:ascii="宋体" w:hAnsi="宋体" w:eastAsia="宋体" w:cs="宋体"/>
                <w:sz w:val="24"/>
                <w:szCs w:val="24"/>
                <w:highlight w:val="none"/>
              </w:rPr>
            </w:pPr>
            <w:r>
              <w:rPr>
                <w:rFonts w:hint="eastAsia" w:ascii="宋体" w:hAnsi="宋体" w:eastAsia="宋体" w:cs="宋体"/>
                <w:b/>
                <w:bCs/>
                <w:sz w:val="24"/>
                <w:szCs w:val="24"/>
                <w:highlight w:val="none"/>
              </w:rPr>
              <w:t>【通过水司签字盖章确认并附售后服务良好的证明文件复印件，</w:t>
            </w:r>
            <w:r>
              <w:rPr>
                <w:rFonts w:hint="eastAsia" w:ascii="宋体" w:hAnsi="宋体" w:eastAsia="宋体" w:cs="宋体"/>
                <w:b/>
                <w:color w:val="000000"/>
                <w:sz w:val="24"/>
                <w:szCs w:val="24"/>
                <w:highlight w:val="none"/>
              </w:rPr>
              <w:t>原件投标时一并递交，如未提供原件，则评标委员会不予认可，</w:t>
            </w:r>
            <w:r>
              <w:rPr>
                <w:rFonts w:hint="eastAsia" w:ascii="宋体" w:hAnsi="宋体" w:eastAsia="宋体" w:cs="宋体"/>
                <w:b/>
                <w:bCs/>
                <w:sz w:val="24"/>
                <w:szCs w:val="24"/>
                <w:highlight w:val="none"/>
              </w:rPr>
              <w:t>投标单位的售后服务网点及相关证明材料等如有造假，将取消其中标资格</w:t>
            </w:r>
            <w:r>
              <w:rPr>
                <w:rFonts w:hint="eastAsia" w:ascii="宋体" w:hAnsi="宋体" w:eastAsia="宋体" w:cs="宋体"/>
                <w:sz w:val="24"/>
                <w:szCs w:val="24"/>
                <w:highlight w:val="none"/>
              </w:rPr>
              <w:t>】</w:t>
            </w:r>
          </w:p>
        </w:tc>
        <w:tc>
          <w:tcPr>
            <w:tcW w:w="1028" w:type="dxa"/>
            <w:tcBorders>
              <w:top w:val="single" w:color="auto" w:sz="4" w:space="0"/>
              <w:left w:val="single" w:color="auto" w:sz="4" w:space="0"/>
              <w:bottom w:val="single" w:color="auto" w:sz="4" w:space="0"/>
              <w:right w:val="single" w:color="auto" w:sz="4" w:space="0"/>
            </w:tcBorders>
            <w:vAlign w:val="center"/>
          </w:tcPr>
          <w:p w14:paraId="53B66445">
            <w:pPr>
              <w:jc w:val="center"/>
              <w:rPr>
                <w:rFonts w:hint="eastAsia" w:ascii="宋体" w:hAnsi="宋体" w:eastAsia="宋体" w:cs="宋体"/>
                <w:sz w:val="24"/>
                <w:szCs w:val="24"/>
                <w:highlight w:val="none"/>
                <w:lang w:val="en-US" w:eastAsia="zh-CN"/>
              </w:rPr>
            </w:pPr>
          </w:p>
        </w:tc>
      </w:tr>
      <w:tr w14:paraId="68A2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73340DF0">
            <w:pPr>
              <w:jc w:val="center"/>
              <w:rPr>
                <w:rFonts w:hint="eastAsia" w:ascii="宋体" w:hAnsi="宋体" w:eastAsia="宋体" w:cs="宋体"/>
                <w:sz w:val="24"/>
                <w:szCs w:val="24"/>
                <w:highlight w:val="none"/>
              </w:rPr>
            </w:pPr>
          </w:p>
        </w:tc>
        <w:tc>
          <w:tcPr>
            <w:tcW w:w="501" w:type="dxa"/>
            <w:vMerge w:val="continue"/>
            <w:tcBorders>
              <w:left w:val="single" w:color="auto" w:sz="4" w:space="0"/>
              <w:right w:val="single" w:color="auto" w:sz="4" w:space="0"/>
            </w:tcBorders>
            <w:vAlign w:val="center"/>
          </w:tcPr>
          <w:p w14:paraId="4B6C6365">
            <w:pPr>
              <w:jc w:val="center"/>
              <w:rPr>
                <w:rFonts w:hint="eastAsia" w:ascii="宋体" w:hAnsi="宋体" w:eastAsia="宋体" w:cs="宋体"/>
                <w:sz w:val="24"/>
                <w:szCs w:val="24"/>
                <w:highlight w:val="none"/>
              </w:rPr>
            </w:pPr>
          </w:p>
        </w:tc>
        <w:tc>
          <w:tcPr>
            <w:tcW w:w="674" w:type="dxa"/>
            <w:vMerge w:val="continue"/>
            <w:tcBorders>
              <w:left w:val="single" w:color="auto" w:sz="4" w:space="0"/>
              <w:right w:val="single" w:color="auto" w:sz="4" w:space="0"/>
            </w:tcBorders>
            <w:vAlign w:val="center"/>
          </w:tcPr>
          <w:p w14:paraId="60CC17E3">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1D19D51A">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p>
        </w:tc>
        <w:tc>
          <w:tcPr>
            <w:tcW w:w="5865" w:type="dxa"/>
            <w:tcBorders>
              <w:top w:val="single" w:color="auto" w:sz="4" w:space="0"/>
              <w:left w:val="single" w:color="auto" w:sz="4" w:space="0"/>
              <w:bottom w:val="single" w:color="auto" w:sz="4" w:space="0"/>
              <w:right w:val="single" w:color="auto" w:sz="4" w:space="0"/>
            </w:tcBorders>
            <w:vAlign w:val="center"/>
          </w:tcPr>
          <w:p w14:paraId="733CA27A">
            <w:pPr>
              <w:pStyle w:val="47"/>
              <w:widowControl/>
              <w:numPr>
                <w:ilvl w:val="0"/>
                <w:numId w:val="0"/>
              </w:numPr>
              <w:ind w:leftChars="0"/>
              <w:textAlignment w:val="center"/>
              <w:rPr>
                <w:rFonts w:hint="eastAsia" w:ascii="宋体" w:hAnsi="宋体" w:eastAsia="宋体" w:cs="宋体"/>
                <w:color w:val="auto"/>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安装、调试、技术售后服务人员工作经验丰富，安装维护技术负责人员必须拥有全国售后服务等级系统认证的售后服务高级管理师职称。</w:t>
            </w:r>
            <w:r>
              <w:rPr>
                <w:rFonts w:hint="eastAsia" w:ascii="宋体" w:hAnsi="宋体" w:eastAsia="宋体" w:cs="宋体"/>
                <w:b/>
                <w:bCs/>
                <w:sz w:val="24"/>
                <w:szCs w:val="24"/>
                <w:highlight w:val="none"/>
              </w:rPr>
              <w:t>需要</w:t>
            </w:r>
            <w:r>
              <w:rPr>
                <w:rFonts w:hint="eastAsia" w:ascii="宋体" w:hAnsi="宋体" w:eastAsia="宋体" w:cs="宋体"/>
                <w:b/>
                <w:bCs/>
                <w:color w:val="auto"/>
                <w:sz w:val="24"/>
                <w:szCs w:val="24"/>
                <w:highlight w:val="none"/>
              </w:rPr>
              <w:t>提供技术负责人员职称证书及投标单位为其缴纳的202</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月-202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月的社保缴费凭证复印件。</w:t>
            </w:r>
          </w:p>
          <w:p w14:paraId="644F7E2B">
            <w:pPr>
              <w:pStyle w:val="47"/>
              <w:widowControl/>
              <w:numPr>
                <w:ilvl w:val="0"/>
                <w:numId w:val="0"/>
              </w:numPr>
              <w:ind w:leftChars="0"/>
              <w:textAlignment w:val="center"/>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其他人员必须在本单位工作一年及以上的员工，</w:t>
            </w:r>
            <w:r>
              <w:rPr>
                <w:rFonts w:hint="eastAsia" w:ascii="宋体" w:hAnsi="宋体" w:eastAsia="宋体" w:cs="宋体"/>
                <w:b/>
                <w:bCs/>
                <w:color w:val="auto"/>
                <w:sz w:val="24"/>
                <w:szCs w:val="24"/>
                <w:highlight w:val="none"/>
              </w:rPr>
              <w:t>其他售后服务人员需提供自202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月至今的社保缴纳凭证复印件。</w:t>
            </w:r>
          </w:p>
          <w:p w14:paraId="6442BBF5">
            <w:pPr>
              <w:widowControl/>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p>
          <w:p w14:paraId="5F532E30">
            <w:pPr>
              <w:widowControl/>
              <w:textAlignment w:val="center"/>
              <w:rPr>
                <w:rFonts w:hint="eastAsia" w:ascii="宋体" w:hAnsi="宋体" w:eastAsia="宋体" w:cs="宋体"/>
                <w:sz w:val="24"/>
                <w:szCs w:val="24"/>
                <w:highlight w:val="none"/>
              </w:rPr>
            </w:pPr>
            <w:r>
              <w:rPr>
                <w:rFonts w:hint="eastAsia" w:ascii="宋体" w:hAnsi="宋体" w:eastAsia="宋体" w:cs="宋体"/>
                <w:b/>
                <w:bCs/>
                <w:sz w:val="24"/>
                <w:szCs w:val="24"/>
                <w:highlight w:val="none"/>
              </w:rPr>
              <w:t>（1）同时满足以上两条得</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分。</w:t>
            </w:r>
          </w:p>
          <w:p w14:paraId="24BE261A">
            <w:pPr>
              <w:widowControl/>
              <w:textAlignment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（2）以上职称原件投标时一并递交，如未提供原件，则评标委员会不予认可。</w:t>
            </w:r>
          </w:p>
          <w:p w14:paraId="20C92411">
            <w:pPr>
              <w:widowControl/>
              <w:textAlignment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（3）</w:t>
            </w:r>
            <w:r>
              <w:rPr>
                <w:rFonts w:hint="eastAsia" w:ascii="宋体" w:hAnsi="宋体" w:eastAsia="宋体" w:cs="宋体"/>
                <w:b/>
                <w:bCs/>
                <w:sz w:val="24"/>
                <w:szCs w:val="24"/>
                <w:highlight w:val="none"/>
              </w:rPr>
              <w:t>社保缴费凭证：</w:t>
            </w:r>
            <w:r>
              <w:rPr>
                <w:rFonts w:hint="eastAsia" w:ascii="宋体" w:hAnsi="宋体" w:eastAsia="宋体" w:cs="宋体"/>
                <w:b/>
                <w:color w:val="000000"/>
                <w:sz w:val="24"/>
                <w:szCs w:val="24"/>
                <w:highlight w:val="none"/>
              </w:rPr>
              <w:t>社保收缴部门盖章证明资料或社保窗口打印资料或社保官网截图皆可，并加盖投标人公章作为得分依据。</w:t>
            </w:r>
          </w:p>
          <w:p w14:paraId="42F3560E">
            <w:pPr>
              <w:widowControl/>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（4）未提供或评标委员会无法凭所提供资料判断是否得分，一律作不得分处理。</w:t>
            </w:r>
          </w:p>
        </w:tc>
        <w:tc>
          <w:tcPr>
            <w:tcW w:w="1028" w:type="dxa"/>
            <w:tcBorders>
              <w:top w:val="single" w:color="auto" w:sz="4" w:space="0"/>
              <w:left w:val="single" w:color="auto" w:sz="4" w:space="0"/>
              <w:bottom w:val="single" w:color="auto" w:sz="4" w:space="0"/>
              <w:right w:val="single" w:color="auto" w:sz="4" w:space="0"/>
            </w:tcBorders>
            <w:vAlign w:val="center"/>
          </w:tcPr>
          <w:p w14:paraId="7F8AE908">
            <w:pPr>
              <w:jc w:val="center"/>
              <w:rPr>
                <w:rFonts w:hint="eastAsia" w:ascii="宋体" w:hAnsi="宋体" w:eastAsia="宋体" w:cs="宋体"/>
                <w:sz w:val="24"/>
                <w:szCs w:val="24"/>
                <w:highlight w:val="none"/>
                <w:lang w:val="en-US" w:eastAsia="zh-CN"/>
              </w:rPr>
            </w:pPr>
          </w:p>
        </w:tc>
      </w:tr>
      <w:tr w14:paraId="53D3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restart"/>
            <w:tcBorders>
              <w:top w:val="single" w:color="auto" w:sz="4" w:space="0"/>
              <w:left w:val="single" w:color="auto" w:sz="4" w:space="0"/>
              <w:right w:val="single" w:color="auto" w:sz="4" w:space="0"/>
            </w:tcBorders>
            <w:vAlign w:val="center"/>
          </w:tcPr>
          <w:p w14:paraId="484FA67C">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客观评审因素</w:t>
            </w:r>
          </w:p>
        </w:tc>
        <w:tc>
          <w:tcPr>
            <w:tcW w:w="501" w:type="dxa"/>
            <w:vMerge w:val="restart"/>
            <w:tcBorders>
              <w:left w:val="single" w:color="auto" w:sz="4" w:space="0"/>
              <w:right w:val="single" w:color="auto" w:sz="4" w:space="0"/>
            </w:tcBorders>
            <w:vAlign w:val="center"/>
          </w:tcPr>
          <w:p w14:paraId="3C497441">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674" w:type="dxa"/>
            <w:vMerge w:val="restart"/>
            <w:tcBorders>
              <w:left w:val="single" w:color="auto" w:sz="4" w:space="0"/>
              <w:right w:val="single" w:color="auto" w:sz="4" w:space="0"/>
            </w:tcBorders>
            <w:vAlign w:val="center"/>
          </w:tcPr>
          <w:p w14:paraId="6EA7199C">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售后</w:t>
            </w:r>
          </w:p>
          <w:p w14:paraId="3BE9CBF9">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服务</w:t>
            </w:r>
          </w:p>
        </w:tc>
        <w:tc>
          <w:tcPr>
            <w:tcW w:w="525" w:type="dxa"/>
            <w:tcBorders>
              <w:top w:val="single" w:color="auto" w:sz="4" w:space="0"/>
              <w:left w:val="single" w:color="auto" w:sz="4" w:space="0"/>
              <w:bottom w:val="single" w:color="auto" w:sz="4" w:space="0"/>
              <w:right w:val="single" w:color="auto" w:sz="4" w:space="0"/>
            </w:tcBorders>
            <w:vAlign w:val="center"/>
          </w:tcPr>
          <w:p w14:paraId="776D8C38">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p>
        </w:tc>
        <w:tc>
          <w:tcPr>
            <w:tcW w:w="5865" w:type="dxa"/>
            <w:tcBorders>
              <w:top w:val="single" w:color="auto" w:sz="4" w:space="0"/>
              <w:left w:val="single" w:color="auto" w:sz="4" w:space="0"/>
              <w:bottom w:val="single" w:color="auto" w:sz="4" w:space="0"/>
              <w:right w:val="single" w:color="auto" w:sz="4" w:space="0"/>
            </w:tcBorders>
            <w:vAlign w:val="center"/>
          </w:tcPr>
          <w:p w14:paraId="7757BC33">
            <w:pPr>
              <w:widowControl/>
              <w:textAlignment w:val="center"/>
              <w:rPr>
                <w:rFonts w:hint="eastAsia" w:ascii="宋体" w:hAnsi="宋体" w:eastAsia="宋体" w:cs="宋体"/>
                <w:b/>
                <w:sz w:val="24"/>
                <w:szCs w:val="24"/>
                <w:highlight w:val="none"/>
              </w:rPr>
            </w:pPr>
            <w:r>
              <w:rPr>
                <w:rFonts w:hint="eastAsia" w:ascii="宋体" w:hAnsi="宋体" w:eastAsia="宋体" w:cs="宋体"/>
                <w:sz w:val="24"/>
                <w:szCs w:val="24"/>
                <w:highlight w:val="none"/>
              </w:rPr>
              <w:t>投标人承诺对每台设备在免费保修期内每月巡检一次，将设备异常情况反馈使用单位，并出具巡检记录由使用单位盖章签字确认，保修期后设备巡检服务每季度不低于 2 次，能出具20</w:t>
            </w: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rPr>
              <w:t>年以来连续半年及以上，符合以上条件的全国</w:t>
            </w:r>
            <w:r>
              <w:rPr>
                <w:rFonts w:hint="eastAsia" w:ascii="宋体" w:hAnsi="宋体" w:eastAsia="宋体" w:cs="宋体"/>
                <w:sz w:val="24"/>
                <w:szCs w:val="24"/>
                <w:highlight w:val="none"/>
                <w:lang w:val="en-US" w:eastAsia="zh-CN"/>
              </w:rPr>
              <w:t>五个不同</w:t>
            </w:r>
            <w:r>
              <w:rPr>
                <w:rFonts w:hint="eastAsia" w:ascii="宋体" w:hAnsi="宋体" w:eastAsia="宋体" w:cs="宋体"/>
                <w:sz w:val="24"/>
                <w:szCs w:val="24"/>
                <w:highlight w:val="none"/>
              </w:rPr>
              <w:t>地区的10个泵房的巡检记录，得</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w:t>
            </w:r>
            <w:r>
              <w:rPr>
                <w:rFonts w:hint="eastAsia" w:ascii="宋体" w:hAnsi="宋体" w:eastAsia="宋体" w:cs="宋体"/>
                <w:b/>
                <w:sz w:val="24"/>
                <w:szCs w:val="24"/>
                <w:highlight w:val="none"/>
              </w:rPr>
              <w:t>。</w:t>
            </w:r>
          </w:p>
          <w:p w14:paraId="3A85A76E">
            <w:pPr>
              <w:widowControl/>
              <w:textAlignment w:val="center"/>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投标人</w:t>
            </w:r>
            <w:r>
              <w:rPr>
                <w:rFonts w:hint="eastAsia" w:ascii="宋体" w:hAnsi="宋体" w:eastAsia="宋体" w:cs="宋体"/>
                <w:b/>
                <w:sz w:val="24"/>
                <w:szCs w:val="24"/>
                <w:highlight w:val="none"/>
              </w:rPr>
              <w:t>提供每个小区近3个月的巡检检录，运行不满3个月的，根据实际情况提供，</w:t>
            </w:r>
            <w:r>
              <w:rPr>
                <w:rFonts w:hint="eastAsia" w:ascii="宋体" w:hAnsi="宋体" w:eastAsia="宋体" w:cs="宋体"/>
                <w:b/>
                <w:sz w:val="24"/>
                <w:szCs w:val="24"/>
                <w:highlight w:val="none"/>
                <w:lang w:val="en-US" w:eastAsia="zh-CN"/>
              </w:rPr>
              <w:t>每提供一个地区的得1分，最高得2分</w:t>
            </w:r>
            <w:r>
              <w:rPr>
                <w:rFonts w:hint="eastAsia" w:ascii="宋体" w:hAnsi="宋体" w:eastAsia="宋体" w:cs="宋体"/>
                <w:b/>
                <w:sz w:val="24"/>
                <w:szCs w:val="24"/>
                <w:highlight w:val="none"/>
              </w:rPr>
              <w:t>。</w:t>
            </w:r>
            <w:r>
              <w:rPr>
                <w:rFonts w:hint="eastAsia" w:ascii="宋体" w:hAnsi="宋体" w:eastAsia="宋体" w:cs="宋体"/>
                <w:sz w:val="24"/>
                <w:szCs w:val="24"/>
                <w:highlight w:val="none"/>
              </w:rPr>
              <w:t>【提供承诺书及相关符合要求的巡检记录复印件并加盖投标人公章，原件投标时一并递交。</w:t>
            </w:r>
            <w:r>
              <w:rPr>
                <w:rFonts w:hint="eastAsia" w:ascii="宋体" w:hAnsi="宋体" w:eastAsia="宋体" w:cs="宋体"/>
                <w:b/>
                <w:sz w:val="24"/>
                <w:szCs w:val="24"/>
                <w:highlight w:val="none"/>
              </w:rPr>
              <w:t>】</w:t>
            </w:r>
          </w:p>
        </w:tc>
        <w:tc>
          <w:tcPr>
            <w:tcW w:w="1028" w:type="dxa"/>
            <w:tcBorders>
              <w:top w:val="single" w:color="auto" w:sz="4" w:space="0"/>
              <w:left w:val="single" w:color="auto" w:sz="4" w:space="0"/>
              <w:bottom w:val="single" w:color="auto" w:sz="4" w:space="0"/>
              <w:right w:val="single" w:color="auto" w:sz="4" w:space="0"/>
            </w:tcBorders>
            <w:vAlign w:val="center"/>
          </w:tcPr>
          <w:p w14:paraId="0240FDB5">
            <w:pPr>
              <w:jc w:val="center"/>
              <w:rPr>
                <w:rFonts w:hint="eastAsia" w:ascii="宋体" w:hAnsi="宋体" w:eastAsia="宋体" w:cs="宋体"/>
                <w:sz w:val="24"/>
                <w:szCs w:val="24"/>
                <w:highlight w:val="none"/>
                <w:lang w:val="en-US" w:eastAsia="zh-CN"/>
              </w:rPr>
            </w:pPr>
          </w:p>
        </w:tc>
      </w:tr>
      <w:tr w14:paraId="1761C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right w:val="single" w:color="auto" w:sz="4" w:space="0"/>
            </w:tcBorders>
            <w:vAlign w:val="center"/>
          </w:tcPr>
          <w:p w14:paraId="23E17609">
            <w:pPr>
              <w:jc w:val="center"/>
              <w:rPr>
                <w:rFonts w:hint="eastAsia" w:ascii="宋体" w:hAnsi="宋体" w:eastAsia="宋体" w:cs="宋体"/>
                <w:sz w:val="24"/>
                <w:szCs w:val="24"/>
                <w:highlight w:val="none"/>
              </w:rPr>
            </w:pPr>
          </w:p>
        </w:tc>
        <w:tc>
          <w:tcPr>
            <w:tcW w:w="501" w:type="dxa"/>
            <w:vMerge w:val="continue"/>
            <w:tcBorders>
              <w:left w:val="single" w:color="auto" w:sz="4" w:space="0"/>
              <w:bottom w:val="single" w:color="auto" w:sz="4" w:space="0"/>
              <w:right w:val="single" w:color="auto" w:sz="4" w:space="0"/>
            </w:tcBorders>
            <w:vAlign w:val="center"/>
          </w:tcPr>
          <w:p w14:paraId="0DBE5F2B">
            <w:pPr>
              <w:jc w:val="center"/>
              <w:rPr>
                <w:rFonts w:hint="eastAsia" w:ascii="宋体" w:hAnsi="宋体" w:eastAsia="宋体" w:cs="宋体"/>
                <w:sz w:val="24"/>
                <w:szCs w:val="24"/>
                <w:highlight w:val="none"/>
              </w:rPr>
            </w:pPr>
          </w:p>
        </w:tc>
        <w:tc>
          <w:tcPr>
            <w:tcW w:w="674" w:type="dxa"/>
            <w:vMerge w:val="continue"/>
            <w:tcBorders>
              <w:left w:val="single" w:color="auto" w:sz="4" w:space="0"/>
              <w:bottom w:val="single" w:color="auto" w:sz="4" w:space="0"/>
              <w:right w:val="single" w:color="auto" w:sz="4" w:space="0"/>
            </w:tcBorders>
            <w:vAlign w:val="center"/>
          </w:tcPr>
          <w:p w14:paraId="1068CD05">
            <w:pPr>
              <w:jc w:val="center"/>
              <w:rPr>
                <w:rFonts w:hint="eastAsia" w:ascii="宋体" w:hAnsi="宋体" w:eastAsia="宋体" w:cs="宋体"/>
                <w:sz w:val="24"/>
                <w:szCs w:val="24"/>
                <w:highlight w:val="none"/>
              </w:rPr>
            </w:pPr>
          </w:p>
        </w:tc>
        <w:tc>
          <w:tcPr>
            <w:tcW w:w="525" w:type="dxa"/>
            <w:tcBorders>
              <w:top w:val="single" w:color="auto" w:sz="4" w:space="0"/>
              <w:left w:val="single" w:color="auto" w:sz="4" w:space="0"/>
              <w:bottom w:val="single" w:color="auto" w:sz="4" w:space="0"/>
              <w:right w:val="single" w:color="auto" w:sz="4" w:space="0"/>
            </w:tcBorders>
            <w:vAlign w:val="center"/>
          </w:tcPr>
          <w:p w14:paraId="00C0B601">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p>
        </w:tc>
        <w:tc>
          <w:tcPr>
            <w:tcW w:w="5865" w:type="dxa"/>
            <w:tcBorders>
              <w:top w:val="single" w:color="auto" w:sz="4" w:space="0"/>
              <w:left w:val="single" w:color="auto" w:sz="4" w:space="0"/>
              <w:bottom w:val="single" w:color="auto" w:sz="4" w:space="0"/>
              <w:right w:val="single" w:color="auto" w:sz="4" w:space="0"/>
            </w:tcBorders>
          </w:tcPr>
          <w:p w14:paraId="009E70E3">
            <w:pPr>
              <w:widowControl/>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投标人愿意配合</w:t>
            </w:r>
            <w:r>
              <w:rPr>
                <w:rFonts w:hint="eastAsia" w:ascii="宋体" w:hAnsi="宋体" w:eastAsia="宋体" w:cs="宋体"/>
                <w:kern w:val="0"/>
                <w:sz w:val="24"/>
                <w:szCs w:val="24"/>
                <w:highlight w:val="none"/>
              </w:rPr>
              <w:t>采购</w:t>
            </w:r>
            <w:r>
              <w:rPr>
                <w:rFonts w:hint="eastAsia" w:ascii="宋体" w:hAnsi="宋体" w:eastAsia="宋体" w:cs="宋体"/>
                <w:sz w:val="24"/>
                <w:szCs w:val="24"/>
                <w:highlight w:val="none"/>
              </w:rPr>
              <w:t>人对土建泵房进行标准化泵房设计的（出具平面布置图、效果图、工程量清单等），得</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w:t>
            </w:r>
          </w:p>
          <w:p w14:paraId="5F2C8AD7">
            <w:pPr>
              <w:widowControl/>
              <w:textAlignment w:val="center"/>
              <w:rPr>
                <w:rFonts w:hint="eastAsia" w:ascii="宋体" w:hAnsi="宋体" w:eastAsia="宋体" w:cs="宋体"/>
                <w:sz w:val="24"/>
                <w:szCs w:val="24"/>
                <w:highlight w:val="none"/>
              </w:rPr>
            </w:pPr>
            <w:r>
              <w:rPr>
                <w:rFonts w:hint="eastAsia" w:ascii="宋体" w:hAnsi="宋体" w:eastAsia="宋体" w:cs="宋体"/>
                <w:b/>
                <w:bCs/>
                <w:sz w:val="24"/>
                <w:szCs w:val="24"/>
                <w:highlight w:val="none"/>
              </w:rPr>
              <w:t>【提供承诺书并加盖公章。】</w:t>
            </w:r>
          </w:p>
        </w:tc>
        <w:tc>
          <w:tcPr>
            <w:tcW w:w="1028" w:type="dxa"/>
            <w:tcBorders>
              <w:top w:val="single" w:color="auto" w:sz="4" w:space="0"/>
              <w:left w:val="single" w:color="auto" w:sz="4" w:space="0"/>
              <w:bottom w:val="single" w:color="auto" w:sz="4" w:space="0"/>
              <w:right w:val="single" w:color="auto" w:sz="4" w:space="0"/>
            </w:tcBorders>
            <w:vAlign w:val="center"/>
          </w:tcPr>
          <w:p w14:paraId="5CEECC23">
            <w:pPr>
              <w:jc w:val="center"/>
              <w:rPr>
                <w:rFonts w:hint="eastAsia" w:ascii="宋体" w:hAnsi="宋体" w:eastAsia="宋体" w:cs="宋体"/>
                <w:sz w:val="24"/>
                <w:szCs w:val="24"/>
                <w:highlight w:val="none"/>
                <w:lang w:val="en-US" w:eastAsia="zh-CN"/>
              </w:rPr>
            </w:pPr>
          </w:p>
        </w:tc>
      </w:tr>
      <w:tr w14:paraId="392F5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849" w:type="dxa"/>
            <w:vMerge w:val="continue"/>
            <w:tcBorders>
              <w:left w:val="single" w:color="auto" w:sz="4" w:space="0"/>
              <w:bottom w:val="single" w:color="auto" w:sz="4" w:space="0"/>
              <w:right w:val="single" w:color="auto" w:sz="4" w:space="0"/>
            </w:tcBorders>
            <w:vAlign w:val="center"/>
          </w:tcPr>
          <w:p w14:paraId="78A091C4">
            <w:pPr>
              <w:jc w:val="center"/>
              <w:rPr>
                <w:rFonts w:hint="eastAsia" w:ascii="宋体" w:hAnsi="宋体" w:eastAsia="宋体" w:cs="宋体"/>
                <w:sz w:val="24"/>
                <w:szCs w:val="24"/>
                <w:highlight w:val="none"/>
              </w:rPr>
            </w:pPr>
          </w:p>
        </w:tc>
        <w:tc>
          <w:tcPr>
            <w:tcW w:w="501" w:type="dxa"/>
            <w:tcBorders>
              <w:top w:val="single" w:color="auto" w:sz="4" w:space="0"/>
              <w:left w:val="single" w:color="auto" w:sz="4" w:space="0"/>
              <w:bottom w:val="single" w:color="auto" w:sz="4" w:space="0"/>
              <w:right w:val="single" w:color="auto" w:sz="4" w:space="0"/>
            </w:tcBorders>
            <w:vAlign w:val="center"/>
          </w:tcPr>
          <w:p w14:paraId="638322FE">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674" w:type="dxa"/>
            <w:tcBorders>
              <w:top w:val="single" w:color="auto" w:sz="4" w:space="0"/>
              <w:left w:val="single" w:color="auto" w:sz="4" w:space="0"/>
              <w:right w:val="single" w:color="auto" w:sz="4" w:space="0"/>
            </w:tcBorders>
            <w:vAlign w:val="center"/>
          </w:tcPr>
          <w:p w14:paraId="31B3B33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业绩</w:t>
            </w:r>
          </w:p>
        </w:tc>
        <w:tc>
          <w:tcPr>
            <w:tcW w:w="525" w:type="dxa"/>
            <w:tcBorders>
              <w:top w:val="single" w:color="auto" w:sz="4" w:space="0"/>
              <w:left w:val="single" w:color="auto" w:sz="4" w:space="0"/>
              <w:right w:val="single" w:color="auto" w:sz="4" w:space="0"/>
            </w:tcBorders>
            <w:vAlign w:val="center"/>
          </w:tcPr>
          <w:p w14:paraId="551A1173">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5865" w:type="dxa"/>
            <w:tcBorders>
              <w:top w:val="single" w:color="auto" w:sz="4" w:space="0"/>
              <w:left w:val="single" w:color="auto" w:sz="4" w:space="0"/>
              <w:bottom w:val="single" w:color="auto" w:sz="4" w:space="0"/>
              <w:right w:val="single" w:color="auto" w:sz="4" w:space="0"/>
            </w:tcBorders>
            <w:vAlign w:val="center"/>
          </w:tcPr>
          <w:p w14:paraId="4CFE484E">
            <w:pPr>
              <w:widowControl/>
              <w:textAlignment w:val="center"/>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人生产的投标设备须在供水行业内有较高的认可度及市场占有率，能提供2021年以来年销售业绩，单一年度单个水司（或水司上级主管部门下属履行采购义务的国有企业）采购总金额累计500万元及以上的，每提供一个得2分，单一年度单个水司（或水司上级主管部门下属履行采购义务的国有企业）采购总金额累计300万元及以上的，每提供一个得1分，单一年度单个水司（或水司上级主管部门下属履行采购义务的国有企业）采购金额累计200万元及以上的，每提供一个得0.5分；最高5分。</w:t>
            </w:r>
          </w:p>
          <w:p w14:paraId="070FC6DA">
            <w:pPr>
              <w:widowControl/>
              <w:textAlignment w:val="center"/>
              <w:rPr>
                <w:rFonts w:hint="eastAsia" w:ascii="宋体" w:hAnsi="宋体" w:eastAsia="宋体" w:cs="宋体"/>
                <w:bCs/>
                <w:sz w:val="24"/>
                <w:szCs w:val="24"/>
                <w:highlight w:val="none"/>
              </w:rPr>
            </w:pPr>
            <w:r>
              <w:rPr>
                <w:rFonts w:hint="eastAsia" w:ascii="宋体" w:hAnsi="宋体" w:eastAsia="宋体" w:cs="宋体"/>
                <w:b/>
                <w:bCs/>
                <w:sz w:val="24"/>
                <w:szCs w:val="24"/>
                <w:highlight w:val="none"/>
              </w:rPr>
              <w:t>【须提供销售合同及业绩真实性证明材料（上级行政主管部门的证明或中标公告网页截图、中标通知书等）复印件，原件或公证件投标时一并提交；如投标人提供的合同从字面上不能体现以上业绩评审要素的，应在投标文件中另行补充相关证明材料，如未提供或不能证明的，评标委员会将不予认可。】</w:t>
            </w:r>
          </w:p>
        </w:tc>
        <w:tc>
          <w:tcPr>
            <w:tcW w:w="1028" w:type="dxa"/>
            <w:tcBorders>
              <w:top w:val="single" w:color="auto" w:sz="4" w:space="0"/>
              <w:left w:val="single" w:color="auto" w:sz="4" w:space="0"/>
              <w:bottom w:val="single" w:color="auto" w:sz="4" w:space="0"/>
              <w:right w:val="single" w:color="auto" w:sz="4" w:space="0"/>
            </w:tcBorders>
            <w:vAlign w:val="center"/>
          </w:tcPr>
          <w:p w14:paraId="08F2046E">
            <w:pPr>
              <w:jc w:val="center"/>
              <w:rPr>
                <w:rFonts w:hint="eastAsia" w:ascii="宋体" w:hAnsi="宋体" w:eastAsia="宋体" w:cs="宋体"/>
                <w:sz w:val="24"/>
                <w:szCs w:val="24"/>
                <w:highlight w:val="none"/>
              </w:rPr>
            </w:pPr>
          </w:p>
        </w:tc>
      </w:tr>
      <w:bookmarkEnd w:id="32"/>
    </w:tbl>
    <w:p w14:paraId="340B1F10">
      <w:pPr>
        <w:spacing w:line="360" w:lineRule="auto"/>
        <w:rPr>
          <w:rFonts w:hint="eastAsia" w:ascii="宋体" w:hAnsi="宋体"/>
          <w:sz w:val="24"/>
          <w:szCs w:val="24"/>
          <w:highlight w:val="none"/>
        </w:rPr>
      </w:pPr>
    </w:p>
    <w:p w14:paraId="673F91B6">
      <w:pPr>
        <w:spacing w:line="360" w:lineRule="auto"/>
        <w:rPr>
          <w:rFonts w:ascii="宋体" w:hAnsi="宋体"/>
          <w:sz w:val="24"/>
          <w:szCs w:val="24"/>
          <w:highlight w:val="none"/>
        </w:rPr>
      </w:pPr>
      <w:r>
        <w:rPr>
          <w:rFonts w:hint="eastAsia" w:ascii="宋体" w:hAnsi="宋体"/>
          <w:sz w:val="24"/>
          <w:szCs w:val="24"/>
          <w:highlight w:val="none"/>
        </w:rPr>
        <w:t>2、价格部分</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548"/>
        <w:gridCol w:w="994"/>
        <w:gridCol w:w="6197"/>
      </w:tblGrid>
      <w:tr w14:paraId="03EA9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878" w:type="dxa"/>
            <w:tcBorders>
              <w:top w:val="single" w:color="auto" w:sz="4" w:space="0"/>
              <w:left w:val="single" w:color="auto" w:sz="4" w:space="0"/>
              <w:bottom w:val="single" w:color="auto" w:sz="4" w:space="0"/>
              <w:right w:val="single" w:color="auto" w:sz="4" w:space="0"/>
            </w:tcBorders>
            <w:vAlign w:val="center"/>
          </w:tcPr>
          <w:p w14:paraId="4C73B8F3">
            <w:pPr>
              <w:jc w:val="center"/>
              <w:rPr>
                <w:rFonts w:ascii="宋体" w:hAnsi="宋体"/>
                <w:sz w:val="24"/>
                <w:szCs w:val="24"/>
                <w:highlight w:val="none"/>
              </w:rPr>
            </w:pPr>
            <w:r>
              <w:rPr>
                <w:rFonts w:hint="eastAsia" w:ascii="宋体" w:hAnsi="宋体"/>
                <w:sz w:val="24"/>
                <w:szCs w:val="24"/>
                <w:highlight w:val="none"/>
              </w:rPr>
              <w:t>序号</w:t>
            </w:r>
          </w:p>
        </w:tc>
        <w:tc>
          <w:tcPr>
            <w:tcW w:w="1548" w:type="dxa"/>
            <w:tcBorders>
              <w:top w:val="single" w:color="auto" w:sz="4" w:space="0"/>
              <w:left w:val="single" w:color="auto" w:sz="4" w:space="0"/>
              <w:right w:val="single" w:color="auto" w:sz="4" w:space="0"/>
            </w:tcBorders>
            <w:vAlign w:val="center"/>
          </w:tcPr>
          <w:p w14:paraId="16A31ECB">
            <w:pPr>
              <w:jc w:val="center"/>
              <w:rPr>
                <w:rFonts w:ascii="宋体" w:hAnsi="宋体"/>
                <w:sz w:val="24"/>
                <w:szCs w:val="24"/>
                <w:highlight w:val="none"/>
              </w:rPr>
            </w:pPr>
            <w:r>
              <w:rPr>
                <w:rFonts w:hint="eastAsia" w:ascii="宋体" w:hAnsi="宋体"/>
                <w:sz w:val="24"/>
                <w:szCs w:val="24"/>
                <w:highlight w:val="none"/>
              </w:rPr>
              <w:t>评审项目</w:t>
            </w:r>
          </w:p>
        </w:tc>
        <w:tc>
          <w:tcPr>
            <w:tcW w:w="994" w:type="dxa"/>
            <w:tcBorders>
              <w:top w:val="single" w:color="auto" w:sz="4" w:space="0"/>
              <w:left w:val="single" w:color="auto" w:sz="4" w:space="0"/>
              <w:right w:val="single" w:color="auto" w:sz="4" w:space="0"/>
            </w:tcBorders>
            <w:vAlign w:val="center"/>
          </w:tcPr>
          <w:p w14:paraId="7ABDFF47">
            <w:pPr>
              <w:jc w:val="center"/>
              <w:rPr>
                <w:rFonts w:ascii="宋体" w:hAnsi="宋体"/>
                <w:sz w:val="24"/>
                <w:szCs w:val="24"/>
                <w:highlight w:val="none"/>
              </w:rPr>
            </w:pPr>
            <w:r>
              <w:rPr>
                <w:rFonts w:hint="eastAsia" w:ascii="宋体" w:hAnsi="宋体"/>
                <w:sz w:val="24"/>
                <w:szCs w:val="24"/>
                <w:highlight w:val="none"/>
              </w:rPr>
              <w:t>分值</w:t>
            </w:r>
          </w:p>
        </w:tc>
        <w:tc>
          <w:tcPr>
            <w:tcW w:w="6197" w:type="dxa"/>
            <w:tcBorders>
              <w:top w:val="single" w:color="auto" w:sz="4" w:space="0"/>
              <w:left w:val="single" w:color="auto" w:sz="4" w:space="0"/>
              <w:bottom w:val="single" w:color="auto" w:sz="4" w:space="0"/>
              <w:right w:val="single" w:color="auto" w:sz="4" w:space="0"/>
            </w:tcBorders>
            <w:vAlign w:val="center"/>
          </w:tcPr>
          <w:p w14:paraId="4C893750">
            <w:pPr>
              <w:jc w:val="center"/>
              <w:rPr>
                <w:rFonts w:ascii="宋体" w:hAnsi="宋体"/>
                <w:sz w:val="24"/>
                <w:szCs w:val="24"/>
                <w:highlight w:val="none"/>
              </w:rPr>
            </w:pPr>
            <w:r>
              <w:rPr>
                <w:rFonts w:hint="eastAsia" w:ascii="宋体" w:hAnsi="宋体"/>
                <w:sz w:val="24"/>
                <w:szCs w:val="24"/>
                <w:highlight w:val="none"/>
              </w:rPr>
              <w:t>评审细则</w:t>
            </w:r>
          </w:p>
        </w:tc>
      </w:tr>
      <w:tr w14:paraId="4796F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78" w:type="dxa"/>
            <w:tcBorders>
              <w:top w:val="single" w:color="auto" w:sz="4" w:space="0"/>
              <w:left w:val="single" w:color="auto" w:sz="4" w:space="0"/>
              <w:right w:val="single" w:color="auto" w:sz="4" w:space="0"/>
            </w:tcBorders>
            <w:vAlign w:val="center"/>
          </w:tcPr>
          <w:p w14:paraId="4349CC23">
            <w:pPr>
              <w:jc w:val="center"/>
              <w:rPr>
                <w:rFonts w:ascii="宋体" w:hAnsi="宋体"/>
                <w:sz w:val="24"/>
                <w:highlight w:val="none"/>
              </w:rPr>
            </w:pPr>
            <w:r>
              <w:rPr>
                <w:rFonts w:hint="eastAsia" w:ascii="宋体" w:hAnsi="宋体"/>
                <w:sz w:val="24"/>
                <w:highlight w:val="none"/>
              </w:rPr>
              <w:t>1</w:t>
            </w:r>
          </w:p>
        </w:tc>
        <w:tc>
          <w:tcPr>
            <w:tcW w:w="1548" w:type="dxa"/>
            <w:tcBorders>
              <w:top w:val="single" w:color="auto" w:sz="4" w:space="0"/>
              <w:left w:val="single" w:color="auto" w:sz="4" w:space="0"/>
              <w:right w:val="single" w:color="auto" w:sz="4" w:space="0"/>
            </w:tcBorders>
            <w:vAlign w:val="center"/>
          </w:tcPr>
          <w:p w14:paraId="05B8E789">
            <w:pPr>
              <w:jc w:val="center"/>
              <w:rPr>
                <w:rFonts w:ascii="宋体" w:hAnsi="宋体"/>
                <w:sz w:val="24"/>
                <w:highlight w:val="none"/>
              </w:rPr>
            </w:pPr>
            <w:r>
              <w:rPr>
                <w:rFonts w:hint="eastAsia" w:ascii="宋体" w:hAnsi="宋体"/>
                <w:sz w:val="24"/>
                <w:highlight w:val="none"/>
              </w:rPr>
              <w:t>价格部分</w:t>
            </w:r>
          </w:p>
        </w:tc>
        <w:tc>
          <w:tcPr>
            <w:tcW w:w="994" w:type="dxa"/>
            <w:tcBorders>
              <w:top w:val="single" w:color="auto" w:sz="4" w:space="0"/>
              <w:left w:val="single" w:color="auto" w:sz="4" w:space="0"/>
              <w:right w:val="single" w:color="auto" w:sz="4" w:space="0"/>
            </w:tcBorders>
            <w:vAlign w:val="center"/>
          </w:tcPr>
          <w:p w14:paraId="5298F9F6">
            <w:pPr>
              <w:jc w:val="center"/>
              <w:rPr>
                <w:rFonts w:hint="default" w:ascii="宋体" w:hAnsi="宋体" w:eastAsiaTheme="minorEastAsia"/>
                <w:sz w:val="24"/>
                <w:highlight w:val="none"/>
                <w:lang w:val="en-US" w:eastAsia="zh-CN"/>
              </w:rPr>
            </w:pPr>
            <w:r>
              <w:rPr>
                <w:rFonts w:hint="eastAsia" w:ascii="宋体" w:hAnsi="宋体"/>
                <w:sz w:val="24"/>
                <w:highlight w:val="none"/>
                <w:lang w:val="en-US" w:eastAsia="zh-CN"/>
              </w:rPr>
              <w:t>30</w:t>
            </w:r>
          </w:p>
        </w:tc>
        <w:tc>
          <w:tcPr>
            <w:tcW w:w="6197" w:type="dxa"/>
            <w:tcBorders>
              <w:top w:val="single" w:color="auto" w:sz="4" w:space="0"/>
              <w:left w:val="single" w:color="auto" w:sz="4" w:space="0"/>
              <w:bottom w:val="single" w:color="auto" w:sz="4" w:space="0"/>
              <w:right w:val="single" w:color="auto" w:sz="4" w:space="0"/>
            </w:tcBorders>
            <w:vAlign w:val="center"/>
          </w:tcPr>
          <w:p w14:paraId="155211B1">
            <w:pPr>
              <w:jc w:val="left"/>
              <w:rPr>
                <w:sz w:val="24"/>
                <w:szCs w:val="24"/>
                <w:highlight w:val="none"/>
              </w:rPr>
            </w:pPr>
            <w:r>
              <w:rPr>
                <w:rFonts w:hint="eastAsia" w:ascii="宋体" w:hAnsi="宋体" w:eastAsia="宋体" w:cs="宋体"/>
                <w:sz w:val="24"/>
                <w:szCs w:val="24"/>
                <w:highlight w:val="none"/>
                <w:lang w:val="en-US" w:eastAsia="zh-Hans"/>
              </w:rPr>
              <w:t>采用低价优先法计算，即满足招标文件要求且投标价格最低的报价为评标基准价，其价格分为</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Hans"/>
              </w:rPr>
              <w:t>0分。其他投标供应商的价格分统一按照下列公式计算:投标报价得分=(评标基准价/投标报价)</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Hans"/>
              </w:rPr>
              <w:t>0分。(以四舍五入法，保留两位小数)</w:t>
            </w:r>
          </w:p>
        </w:tc>
      </w:tr>
    </w:tbl>
    <w:p w14:paraId="05105187">
      <w:pPr>
        <w:jc w:val="left"/>
        <w:rPr>
          <w:rFonts w:hint="eastAsia" w:ascii="宋体" w:hAnsi="宋体" w:eastAsia="宋体" w:cs="Times New Roman"/>
          <w:b/>
          <w:bCs/>
          <w:sz w:val="24"/>
          <w:szCs w:val="24"/>
          <w:highlight w:val="none"/>
        </w:rPr>
      </w:pPr>
    </w:p>
    <w:p w14:paraId="327E14D3">
      <w:pPr>
        <w:jc w:val="left"/>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备注：</w:t>
      </w:r>
    </w:p>
    <w:p w14:paraId="6616BDB1">
      <w:pPr>
        <w:spacing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1、评分过程中如出现小数点后三位，采用四舍五入法，最终保留两位小数；</w:t>
      </w:r>
    </w:p>
    <w:p w14:paraId="79814A08">
      <w:pPr>
        <w:spacing w:line="360" w:lineRule="auto"/>
        <w:ind w:firstLine="482" w:firstLineChars="200"/>
        <w:jc w:val="left"/>
        <w:rPr>
          <w:rFonts w:ascii="宋体" w:hAnsi="宋体" w:eastAsia="宋体" w:cs="Times New Roman"/>
          <w:b/>
          <w:sz w:val="24"/>
          <w:highlight w:val="none"/>
        </w:rPr>
      </w:pPr>
      <w:r>
        <w:rPr>
          <w:rFonts w:hint="eastAsia" w:ascii="宋体" w:hAnsi="宋体" w:eastAsia="宋体" w:cs="Times New Roman"/>
          <w:b/>
          <w:sz w:val="24"/>
          <w:szCs w:val="24"/>
          <w:highlight w:val="none"/>
        </w:rPr>
        <w:t>2、以上提供材料为复印件的，中标后将检查原件，若无，则取</w:t>
      </w:r>
      <w:r>
        <w:rPr>
          <w:rFonts w:hint="eastAsia" w:ascii="宋体" w:hAnsi="宋体" w:eastAsia="宋体" w:cs="Times New Roman"/>
          <w:b/>
          <w:sz w:val="24"/>
          <w:highlight w:val="none"/>
        </w:rPr>
        <w:t>消中标资格。</w:t>
      </w:r>
    </w:p>
    <w:p w14:paraId="6F5A06E0">
      <w:pPr>
        <w:jc w:val="left"/>
        <w:rPr>
          <w:rFonts w:ascii="黑体" w:hAnsi="黑体" w:eastAsia="黑体"/>
          <w:sz w:val="28"/>
          <w:highlight w:val="none"/>
        </w:rPr>
      </w:pPr>
      <w:r>
        <w:rPr>
          <w:rFonts w:ascii="黑体" w:hAnsi="黑体" w:eastAsia="黑体"/>
          <w:sz w:val="28"/>
          <w:highlight w:val="none"/>
        </w:rPr>
        <w:br w:type="page"/>
      </w:r>
      <w:bookmarkStart w:id="37" w:name="_Toc64637567"/>
    </w:p>
    <w:p w14:paraId="01F4A6C8">
      <w:pPr>
        <w:jc w:val="center"/>
        <w:rPr>
          <w:rFonts w:ascii="黑体" w:hAnsi="黑体" w:eastAsia="黑体"/>
          <w:sz w:val="28"/>
          <w:highlight w:val="none"/>
        </w:rPr>
      </w:pPr>
      <w:r>
        <w:rPr>
          <w:rFonts w:hint="eastAsia" w:ascii="黑体" w:hAnsi="黑体" w:eastAsia="黑体"/>
          <w:sz w:val="28"/>
          <w:highlight w:val="none"/>
        </w:rPr>
        <w:t>第四章 项目技术要求和有关说明</w:t>
      </w:r>
      <w:bookmarkEnd w:id="29"/>
      <w:bookmarkEnd w:id="37"/>
    </w:p>
    <w:p w14:paraId="1D78BEFD">
      <w:pPr>
        <w:spacing w:line="360" w:lineRule="auto"/>
        <w:rPr>
          <w:rFonts w:ascii="宋体" w:hAnsi="宋体"/>
          <w:sz w:val="24"/>
          <w:szCs w:val="24"/>
          <w:highlight w:val="none"/>
        </w:rPr>
      </w:pPr>
      <w:r>
        <w:rPr>
          <w:rFonts w:hint="eastAsia" w:ascii="宋体" w:hAnsi="宋体"/>
          <w:sz w:val="24"/>
          <w:szCs w:val="24"/>
          <w:highlight w:val="none"/>
        </w:rPr>
        <w:t>一、项目概述：</w:t>
      </w:r>
    </w:p>
    <w:p w14:paraId="2CF941B5">
      <w:pPr>
        <w:widowControl/>
        <w:spacing w:line="360" w:lineRule="auto"/>
        <w:ind w:firstLine="840" w:firstLineChars="350"/>
        <w:jc w:val="left"/>
        <w:rPr>
          <w:rFonts w:ascii="宋体" w:hAnsi="宋体" w:cs="宋体"/>
          <w:b/>
          <w:kern w:val="0"/>
          <w:sz w:val="24"/>
          <w:highlight w:val="none"/>
        </w:rPr>
      </w:pPr>
      <w:r>
        <w:rPr>
          <w:rFonts w:hint="eastAsia" w:ascii="宋体" w:hAnsi="宋体" w:eastAsia="宋体" w:cs="Times New Roman"/>
          <w:sz w:val="24"/>
          <w:szCs w:val="24"/>
          <w:highlight w:val="none"/>
        </w:rPr>
        <w:t>本项目为宜兴市公用投资管理有限公司</w:t>
      </w:r>
      <w:r>
        <w:rPr>
          <w:rFonts w:hint="eastAsia" w:ascii="宋体" w:hAnsi="宋体" w:eastAsia="宋体" w:cs="Times New Roman"/>
          <w:sz w:val="24"/>
          <w:szCs w:val="24"/>
          <w:highlight w:val="none"/>
          <w:lang w:eastAsia="zh-CN"/>
        </w:rPr>
        <w:t>新建小区无负压供水设备（2025年第三批）</w:t>
      </w:r>
      <w:r>
        <w:rPr>
          <w:rFonts w:hint="eastAsia" w:ascii="宋体" w:hAnsi="宋体" w:eastAsia="宋体" w:cs="Times New Roman"/>
          <w:sz w:val="24"/>
          <w:szCs w:val="24"/>
          <w:highlight w:val="none"/>
        </w:rPr>
        <w:t>。</w:t>
      </w:r>
    </w:p>
    <w:p w14:paraId="77BF85F1">
      <w:pPr>
        <w:spacing w:line="360" w:lineRule="auto"/>
        <w:rPr>
          <w:rFonts w:ascii="宋体" w:hAnsi="宋体"/>
          <w:sz w:val="24"/>
          <w:szCs w:val="24"/>
          <w:highlight w:val="none"/>
        </w:rPr>
      </w:pPr>
      <w:r>
        <w:rPr>
          <w:rFonts w:hint="eastAsia" w:ascii="宋体" w:hAnsi="宋体"/>
          <w:sz w:val="24"/>
          <w:szCs w:val="24"/>
          <w:highlight w:val="none"/>
        </w:rPr>
        <w:t>二、技术要求：</w:t>
      </w:r>
    </w:p>
    <w:p w14:paraId="2E3BE032">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1、本次招标项目的要求及数量详见下表。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3590"/>
        <w:gridCol w:w="1847"/>
      </w:tblGrid>
      <w:tr w14:paraId="6D63E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19" w:type="dxa"/>
            <w:vAlign w:val="center"/>
          </w:tcPr>
          <w:p w14:paraId="576EBA1D">
            <w:pPr>
              <w:ind w:left="-111" w:leftChars="-53" w:right="-107" w:rightChars="-51"/>
              <w:jc w:val="center"/>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项目名称</w:t>
            </w:r>
          </w:p>
        </w:tc>
        <w:tc>
          <w:tcPr>
            <w:tcW w:w="3590" w:type="dxa"/>
            <w:vAlign w:val="center"/>
          </w:tcPr>
          <w:p w14:paraId="69A87EE9">
            <w:pPr>
              <w:ind w:left="-130" w:leftChars="-62" w:right="-107" w:rightChars="-51"/>
              <w:jc w:val="center"/>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技术参数要求</w:t>
            </w:r>
          </w:p>
        </w:tc>
        <w:tc>
          <w:tcPr>
            <w:tcW w:w="1847" w:type="dxa"/>
            <w:vAlign w:val="center"/>
          </w:tcPr>
          <w:p w14:paraId="1450F3C5">
            <w:pPr>
              <w:ind w:left="183" w:leftChars="-52" w:right="-107" w:rightChars="-51" w:hanging="292" w:hangingChars="121"/>
              <w:jc w:val="center"/>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数量</w:t>
            </w:r>
          </w:p>
        </w:tc>
      </w:tr>
      <w:tr w14:paraId="5E72A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119" w:type="dxa"/>
            <w:vAlign w:val="center"/>
          </w:tcPr>
          <w:p w14:paraId="213B3FF8">
            <w:pPr>
              <w:ind w:left="-111" w:leftChars="-53" w:right="-107" w:rightChars="-51"/>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罐式无负压供水设备</w:t>
            </w:r>
          </w:p>
        </w:tc>
        <w:tc>
          <w:tcPr>
            <w:tcW w:w="3590" w:type="dxa"/>
            <w:vAlign w:val="center"/>
          </w:tcPr>
          <w:p w14:paraId="45CCDD0A">
            <w:pPr>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详见下列详细文字说明</w:t>
            </w:r>
          </w:p>
        </w:tc>
        <w:tc>
          <w:tcPr>
            <w:tcW w:w="1847" w:type="dxa"/>
            <w:vAlign w:val="center"/>
          </w:tcPr>
          <w:p w14:paraId="44A1250E">
            <w:pPr>
              <w:spacing w:line="360" w:lineRule="auto"/>
              <w:ind w:right="-13" w:rightChars="-6"/>
              <w:jc w:val="center"/>
              <w:rPr>
                <w:rFonts w:ascii="宋体" w:hAnsi="宋体" w:eastAsia="宋体" w:cs="Times New Roman"/>
                <w:color w:val="auto"/>
                <w:sz w:val="24"/>
                <w:szCs w:val="24"/>
                <w:highlight w:val="none"/>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套</w:t>
            </w:r>
          </w:p>
        </w:tc>
      </w:tr>
    </w:tbl>
    <w:p w14:paraId="3D951A4F">
      <w:pPr>
        <w:pStyle w:val="22"/>
        <w:spacing w:after="0" w:line="440" w:lineRule="exact"/>
        <w:ind w:left="0" w:leftChars="0"/>
        <w:rPr>
          <w:rFonts w:ascii="宋体" w:hAnsi="宋体"/>
          <w:b/>
          <w:color w:val="auto"/>
          <w:kern w:val="2"/>
          <w:sz w:val="24"/>
          <w:szCs w:val="24"/>
          <w:highlight w:val="none"/>
        </w:rPr>
      </w:pPr>
      <w:r>
        <w:rPr>
          <w:rFonts w:hint="eastAsia" w:ascii="宋体" w:hAnsi="宋体"/>
          <w:b/>
          <w:color w:val="auto"/>
          <w:kern w:val="2"/>
          <w:sz w:val="24"/>
          <w:szCs w:val="24"/>
          <w:highlight w:val="none"/>
        </w:rPr>
        <w:t>（一）、无负压增压稳流供水成套设备（含控制柜等相关设备）用于小区管网增压，</w:t>
      </w:r>
    </w:p>
    <w:p w14:paraId="646E7B4E">
      <w:pPr>
        <w:pStyle w:val="22"/>
        <w:spacing w:after="0" w:line="440" w:lineRule="exact"/>
        <w:ind w:left="0" w:leftChars="0" w:firstLine="720" w:firstLineChars="300"/>
        <w:rPr>
          <w:rFonts w:ascii="宋体" w:hAnsi="宋体"/>
          <w:color w:val="auto"/>
          <w:kern w:val="2"/>
          <w:sz w:val="24"/>
          <w:szCs w:val="24"/>
          <w:highlight w:val="none"/>
        </w:rPr>
      </w:pPr>
      <w:r>
        <w:rPr>
          <w:rFonts w:hint="eastAsia" w:ascii="宋体" w:hAnsi="宋体"/>
          <w:color w:val="auto"/>
          <w:kern w:val="2"/>
          <w:sz w:val="24"/>
          <w:szCs w:val="24"/>
          <w:highlight w:val="none"/>
        </w:rPr>
        <w:t>具体要求详见下表：</w:t>
      </w:r>
    </w:p>
    <w:tbl>
      <w:tblPr>
        <w:tblStyle w:val="27"/>
        <w:tblW w:w="50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1587"/>
        <w:gridCol w:w="2279"/>
        <w:gridCol w:w="675"/>
        <w:gridCol w:w="750"/>
        <w:gridCol w:w="1215"/>
        <w:gridCol w:w="1395"/>
        <w:gridCol w:w="1482"/>
      </w:tblGrid>
      <w:tr w14:paraId="1C2BD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436F">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D84AC">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FB475">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型号规格</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A2CB1">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65EF7">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6C972">
            <w:pPr>
              <w:keepNext w:val="0"/>
              <w:keepLines w:val="0"/>
              <w:widowControl/>
              <w:suppressLineNumbers w:val="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0F04F">
            <w:pPr>
              <w:keepNext w:val="0"/>
              <w:keepLines w:val="0"/>
              <w:widowControl/>
              <w:suppressLineNumbers w:val="0"/>
              <w:jc w:val="both"/>
              <w:textAlignment w:val="bottom"/>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单套最高限价（万元）</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2C6E">
            <w:pPr>
              <w:keepNext w:val="0"/>
              <w:keepLines w:val="0"/>
              <w:widowControl/>
              <w:suppressLineNumbers w:val="0"/>
              <w:jc w:val="center"/>
              <w:textAlignment w:val="bottom"/>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区域</w:t>
            </w:r>
          </w:p>
        </w:tc>
      </w:tr>
      <w:tr w14:paraId="02EE5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3" w:hRule="atLeast"/>
        </w:trPr>
        <w:tc>
          <w:tcPr>
            <w:tcW w:w="332" w:type="pct"/>
            <w:vMerge w:val="restart"/>
            <w:tcBorders>
              <w:top w:val="single" w:color="000000" w:sz="4" w:space="0"/>
              <w:left w:val="single" w:color="000000" w:sz="4" w:space="0"/>
              <w:right w:val="single" w:color="000000" w:sz="4" w:space="0"/>
            </w:tcBorders>
            <w:shd w:val="clear" w:color="auto" w:fill="auto"/>
            <w:vAlign w:val="center"/>
          </w:tcPr>
          <w:p w14:paraId="65250B49">
            <w:pPr>
              <w:jc w:val="both"/>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w:t>
            </w:r>
          </w:p>
        </w:tc>
        <w:tc>
          <w:tcPr>
            <w:tcW w:w="789" w:type="pct"/>
            <w:tcBorders>
              <w:top w:val="single" w:color="000000" w:sz="4" w:space="0"/>
              <w:left w:val="single" w:color="000000" w:sz="4" w:space="0"/>
              <w:right w:val="single" w:color="000000" w:sz="4" w:space="0"/>
            </w:tcBorders>
            <w:shd w:val="clear" w:color="auto" w:fill="auto"/>
            <w:vAlign w:val="center"/>
          </w:tcPr>
          <w:p w14:paraId="17C6899E">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无负压泵设备</w:t>
            </w:r>
          </w:p>
        </w:tc>
        <w:tc>
          <w:tcPr>
            <w:tcW w:w="1133" w:type="pct"/>
            <w:tcBorders>
              <w:top w:val="single" w:color="000000" w:sz="4" w:space="0"/>
              <w:left w:val="single" w:color="000000" w:sz="4" w:space="0"/>
              <w:right w:val="single" w:color="000000" w:sz="4" w:space="0"/>
            </w:tcBorders>
            <w:shd w:val="clear" w:color="auto" w:fill="auto"/>
            <w:vAlign w:val="center"/>
          </w:tcPr>
          <w:p w14:paraId="7A78C270">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Q=23m³/h，H=43m，N=5.5KW</w:t>
            </w:r>
          </w:p>
        </w:tc>
        <w:tc>
          <w:tcPr>
            <w:tcW w:w="335" w:type="pct"/>
            <w:tcBorders>
              <w:top w:val="single" w:color="000000" w:sz="4" w:space="0"/>
              <w:left w:val="single" w:color="000000" w:sz="4" w:space="0"/>
              <w:right w:val="single" w:color="000000" w:sz="4" w:space="0"/>
            </w:tcBorders>
            <w:shd w:val="clear" w:color="auto" w:fill="auto"/>
            <w:vAlign w:val="center"/>
          </w:tcPr>
          <w:p w14:paraId="4788E097">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373" w:type="pct"/>
            <w:tcBorders>
              <w:top w:val="single" w:color="000000" w:sz="4" w:space="0"/>
              <w:left w:val="single" w:color="000000" w:sz="4" w:space="0"/>
              <w:right w:val="single" w:color="000000" w:sz="4" w:space="0"/>
            </w:tcBorders>
            <w:shd w:val="clear" w:color="auto" w:fill="auto"/>
            <w:vAlign w:val="center"/>
          </w:tcPr>
          <w:p w14:paraId="71DD15DA">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w:t>
            </w:r>
          </w:p>
        </w:tc>
        <w:tc>
          <w:tcPr>
            <w:tcW w:w="604" w:type="pct"/>
            <w:tcBorders>
              <w:top w:val="single" w:color="000000" w:sz="4" w:space="0"/>
              <w:left w:val="single" w:color="000000" w:sz="4" w:space="0"/>
              <w:right w:val="single" w:color="000000" w:sz="4" w:space="0"/>
            </w:tcBorders>
            <w:shd w:val="clear" w:color="auto" w:fill="auto"/>
            <w:vAlign w:val="center"/>
          </w:tcPr>
          <w:p w14:paraId="13DB4983">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二用一备</w:t>
            </w:r>
          </w:p>
        </w:tc>
        <w:tc>
          <w:tcPr>
            <w:tcW w:w="693" w:type="pct"/>
            <w:vMerge w:val="restart"/>
            <w:tcBorders>
              <w:top w:val="single" w:color="000000" w:sz="4" w:space="0"/>
              <w:left w:val="single" w:color="000000" w:sz="4" w:space="0"/>
              <w:right w:val="single" w:color="auto" w:sz="4" w:space="0"/>
            </w:tcBorders>
            <w:shd w:val="clear" w:color="auto" w:fill="auto"/>
            <w:vAlign w:val="center"/>
          </w:tcPr>
          <w:p w14:paraId="7A495769">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26.5</w:t>
            </w:r>
          </w:p>
        </w:tc>
        <w:tc>
          <w:tcPr>
            <w:tcW w:w="737" w:type="pct"/>
            <w:tcBorders>
              <w:top w:val="single" w:color="auto" w:sz="4" w:space="0"/>
              <w:left w:val="single" w:color="auto" w:sz="4" w:space="0"/>
              <w:bottom w:val="single" w:color="auto" w:sz="4" w:space="0"/>
              <w:right w:val="single" w:color="auto" w:sz="4" w:space="0"/>
            </w:tcBorders>
            <w:shd w:val="clear" w:color="auto" w:fill="auto"/>
            <w:vAlign w:val="center"/>
          </w:tcPr>
          <w:p w14:paraId="758BB4D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加压区1区</w:t>
            </w:r>
          </w:p>
        </w:tc>
      </w:tr>
      <w:tr w14:paraId="657E2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6BFD">
            <w:pPr>
              <w:jc w:val="both"/>
              <w:rPr>
                <w:rFonts w:hint="eastAsia" w:ascii="宋体" w:hAnsi="宋体" w:eastAsia="宋体" w:cs="宋体"/>
                <w:i w:val="0"/>
                <w:iCs w:val="0"/>
                <w:color w:val="000000"/>
                <w:sz w:val="22"/>
                <w:szCs w:val="22"/>
                <w:u w:val="none"/>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E8BAF">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流量仪</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54D61">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DN100（1.6MPa）</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749E9">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965B2">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B16E3">
            <w:pPr>
              <w:jc w:val="both"/>
              <w:rPr>
                <w:rFonts w:hint="default" w:ascii="宋体" w:hAnsi="宋体" w:eastAsia="宋体" w:cs="宋体"/>
                <w:i w:val="0"/>
                <w:iCs w:val="0"/>
                <w:color w:val="000000"/>
                <w:sz w:val="21"/>
                <w:szCs w:val="21"/>
                <w:u w:val="none"/>
                <w:lang w:val="en-US" w:eastAsia="zh-CN"/>
              </w:rPr>
            </w:pPr>
          </w:p>
        </w:tc>
        <w:tc>
          <w:tcPr>
            <w:tcW w:w="6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FB5B1">
            <w:pPr>
              <w:jc w:val="both"/>
              <w:rPr>
                <w:rFonts w:hint="default" w:ascii="宋体" w:hAnsi="宋体" w:eastAsia="宋体" w:cs="宋体"/>
                <w:i w:val="0"/>
                <w:iCs w:val="0"/>
                <w:color w:val="000000"/>
                <w:sz w:val="21"/>
                <w:szCs w:val="21"/>
                <w:u w:val="none"/>
                <w:lang w:val="en-US" w:eastAsia="zh-CN"/>
              </w:rPr>
            </w:pP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97C0F8">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安装于出水端</w:t>
            </w:r>
          </w:p>
        </w:tc>
      </w:tr>
      <w:tr w14:paraId="0C5F4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8FE6">
            <w:pPr>
              <w:jc w:val="both"/>
              <w:rPr>
                <w:rFonts w:hint="eastAsia" w:ascii="宋体" w:hAnsi="宋体" w:eastAsia="宋体" w:cs="宋体"/>
                <w:i w:val="0"/>
                <w:iCs w:val="0"/>
                <w:color w:val="000000"/>
                <w:sz w:val="22"/>
                <w:szCs w:val="22"/>
                <w:u w:val="none"/>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1D34F">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电动蝶阀</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29999">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DN150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EBD00">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97F09">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037D8">
            <w:pPr>
              <w:jc w:val="both"/>
              <w:rPr>
                <w:rFonts w:hint="default" w:ascii="宋体" w:hAnsi="宋体" w:eastAsia="宋体" w:cs="宋体"/>
                <w:i w:val="0"/>
                <w:iCs w:val="0"/>
                <w:color w:val="000000"/>
                <w:sz w:val="21"/>
                <w:szCs w:val="21"/>
                <w:u w:val="none"/>
                <w:lang w:val="en-US" w:eastAsia="zh-CN"/>
              </w:rPr>
            </w:pPr>
          </w:p>
        </w:tc>
        <w:tc>
          <w:tcPr>
            <w:tcW w:w="693" w:type="pct"/>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F2B7189">
            <w:pPr>
              <w:jc w:val="both"/>
              <w:rPr>
                <w:rFonts w:hint="default" w:ascii="宋体" w:hAnsi="宋体" w:eastAsia="宋体" w:cs="宋体"/>
                <w:i w:val="0"/>
                <w:iCs w:val="0"/>
                <w:color w:val="000000"/>
                <w:sz w:val="21"/>
                <w:szCs w:val="21"/>
                <w:u w:val="none"/>
                <w:lang w:val="en-US" w:eastAsia="zh-CN"/>
              </w:rPr>
            </w:pP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AEDEB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安装于进水端</w:t>
            </w:r>
          </w:p>
        </w:tc>
      </w:tr>
      <w:tr w14:paraId="2CC2C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restart"/>
            <w:tcBorders>
              <w:top w:val="single" w:color="000000" w:sz="4" w:space="0"/>
              <w:left w:val="single" w:color="000000" w:sz="4" w:space="0"/>
              <w:right w:val="single" w:color="000000" w:sz="4" w:space="0"/>
            </w:tcBorders>
            <w:shd w:val="clear" w:color="auto" w:fill="auto"/>
            <w:noWrap/>
            <w:vAlign w:val="center"/>
          </w:tcPr>
          <w:p w14:paraId="301607E5">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EFB61">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无负压泵设备</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2FA2F">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Q=20m³/h，H=60m，N=5.5KW</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DB160">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EA911">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2FE17DA0">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二用一备</w:t>
            </w:r>
          </w:p>
        </w:tc>
        <w:tc>
          <w:tcPr>
            <w:tcW w:w="6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1D9422A">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26</w:t>
            </w: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B81F0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加压区2区</w:t>
            </w:r>
          </w:p>
        </w:tc>
      </w:tr>
      <w:tr w14:paraId="4148F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continue"/>
            <w:tcBorders>
              <w:left w:val="single" w:color="000000" w:sz="4" w:space="0"/>
              <w:right w:val="single" w:color="000000" w:sz="4" w:space="0"/>
            </w:tcBorders>
            <w:shd w:val="clear" w:color="auto" w:fill="auto"/>
            <w:noWrap/>
            <w:vAlign w:val="center"/>
          </w:tcPr>
          <w:p w14:paraId="697EC208">
            <w:pPr>
              <w:jc w:val="both"/>
              <w:rPr>
                <w:rFonts w:hint="eastAsia" w:ascii="宋体" w:hAnsi="宋体" w:eastAsia="宋体" w:cs="宋体"/>
                <w:i w:val="0"/>
                <w:iCs w:val="0"/>
                <w:color w:val="000000"/>
                <w:sz w:val="22"/>
                <w:szCs w:val="22"/>
                <w:u w:val="none"/>
                <w:lang w:val="en-US" w:eastAsia="zh-CN"/>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3DC6D">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流量仪</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44674">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DN100（1.6MPa）</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2EB5D">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2CBFA">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41CC48E8">
            <w:pPr>
              <w:jc w:val="both"/>
              <w:rPr>
                <w:rFonts w:hint="eastAsia" w:ascii="宋体" w:hAnsi="宋体" w:eastAsia="宋体" w:cs="宋体"/>
                <w:i w:val="0"/>
                <w:iCs w:val="0"/>
                <w:color w:val="000000"/>
                <w:sz w:val="21"/>
                <w:szCs w:val="21"/>
                <w:u w:val="none"/>
                <w:lang w:val="en-US" w:eastAsia="zh-CN"/>
              </w:rPr>
            </w:pPr>
          </w:p>
        </w:tc>
        <w:tc>
          <w:tcPr>
            <w:tcW w:w="693"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B98AA81">
            <w:pPr>
              <w:jc w:val="both"/>
              <w:rPr>
                <w:rFonts w:hint="default" w:ascii="宋体" w:hAnsi="宋体" w:eastAsia="宋体" w:cs="宋体"/>
                <w:i w:val="0"/>
                <w:iCs w:val="0"/>
                <w:color w:val="000000"/>
                <w:sz w:val="21"/>
                <w:szCs w:val="21"/>
                <w:u w:val="none"/>
                <w:lang w:val="en-US" w:eastAsia="zh-CN"/>
              </w:rPr>
            </w:pP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12775F">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安装于出水端</w:t>
            </w:r>
          </w:p>
        </w:tc>
      </w:tr>
      <w:tr w14:paraId="34EEB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continue"/>
            <w:tcBorders>
              <w:left w:val="single" w:color="000000" w:sz="4" w:space="0"/>
              <w:bottom w:val="single" w:color="000000" w:sz="4" w:space="0"/>
              <w:right w:val="single" w:color="000000" w:sz="4" w:space="0"/>
            </w:tcBorders>
            <w:shd w:val="clear" w:color="auto" w:fill="auto"/>
            <w:noWrap/>
            <w:vAlign w:val="center"/>
          </w:tcPr>
          <w:p w14:paraId="33BBEED2">
            <w:pPr>
              <w:jc w:val="both"/>
              <w:rPr>
                <w:rFonts w:hint="eastAsia" w:ascii="宋体" w:hAnsi="宋体" w:eastAsia="宋体" w:cs="宋体"/>
                <w:i w:val="0"/>
                <w:iCs w:val="0"/>
                <w:color w:val="000000"/>
                <w:sz w:val="22"/>
                <w:szCs w:val="22"/>
                <w:u w:val="none"/>
                <w:lang w:val="en-US" w:eastAsia="zh-CN"/>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37298">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电动蝶阀</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4C7AA">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DN150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A8843">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5115D">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4EEB6B4C">
            <w:pPr>
              <w:jc w:val="both"/>
              <w:rPr>
                <w:rFonts w:hint="eastAsia" w:ascii="宋体" w:hAnsi="宋体" w:eastAsia="宋体" w:cs="宋体"/>
                <w:i w:val="0"/>
                <w:iCs w:val="0"/>
                <w:color w:val="000000"/>
                <w:sz w:val="21"/>
                <w:szCs w:val="21"/>
                <w:u w:val="none"/>
                <w:lang w:val="en-US" w:eastAsia="zh-CN"/>
              </w:rPr>
            </w:pPr>
          </w:p>
        </w:tc>
        <w:tc>
          <w:tcPr>
            <w:tcW w:w="693"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D18B0E8">
            <w:pPr>
              <w:jc w:val="both"/>
              <w:rPr>
                <w:rFonts w:hint="default" w:ascii="宋体" w:hAnsi="宋体" w:eastAsia="宋体" w:cs="宋体"/>
                <w:i w:val="0"/>
                <w:iCs w:val="0"/>
                <w:color w:val="000000"/>
                <w:sz w:val="21"/>
                <w:szCs w:val="21"/>
                <w:u w:val="none"/>
                <w:lang w:val="en-US" w:eastAsia="zh-CN"/>
              </w:rPr>
            </w:pP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D7F29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安装于进水端</w:t>
            </w:r>
          </w:p>
        </w:tc>
      </w:tr>
      <w:tr w14:paraId="3ECED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restart"/>
            <w:tcBorders>
              <w:top w:val="single" w:color="000000" w:sz="4" w:space="0"/>
              <w:left w:val="single" w:color="000000" w:sz="4" w:space="0"/>
              <w:right w:val="single" w:color="000000" w:sz="4" w:space="0"/>
            </w:tcBorders>
            <w:shd w:val="clear" w:color="auto" w:fill="auto"/>
            <w:noWrap/>
            <w:vAlign w:val="center"/>
          </w:tcPr>
          <w:p w14:paraId="7836CF2B">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560FF">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户外一体化无负压设备</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13823">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Q=10m³/h，H=20m，N=1.1KW</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9949C">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A5D44">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09272FBE">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二用一备</w:t>
            </w:r>
          </w:p>
        </w:tc>
        <w:tc>
          <w:tcPr>
            <w:tcW w:w="6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AA7339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23</w:t>
            </w:r>
          </w:p>
        </w:tc>
        <w:tc>
          <w:tcPr>
            <w:tcW w:w="73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29A525">
            <w:pPr>
              <w:jc w:val="both"/>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户外一体化</w:t>
            </w:r>
          </w:p>
        </w:tc>
      </w:tr>
      <w:tr w14:paraId="0AF2D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continue"/>
            <w:tcBorders>
              <w:left w:val="single" w:color="000000" w:sz="4" w:space="0"/>
              <w:right w:val="single" w:color="000000" w:sz="4" w:space="0"/>
            </w:tcBorders>
            <w:shd w:val="clear" w:color="auto" w:fill="auto"/>
            <w:noWrap/>
            <w:vAlign w:val="center"/>
          </w:tcPr>
          <w:p w14:paraId="012C6F27">
            <w:pPr>
              <w:jc w:val="both"/>
              <w:rPr>
                <w:rFonts w:hint="eastAsia" w:ascii="宋体" w:hAnsi="宋体" w:eastAsia="宋体" w:cs="宋体"/>
                <w:i w:val="0"/>
                <w:iCs w:val="0"/>
                <w:color w:val="000000"/>
                <w:sz w:val="22"/>
                <w:szCs w:val="22"/>
                <w:u w:val="none"/>
                <w:lang w:val="en-US" w:eastAsia="zh-CN"/>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8EB26">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流量仪</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AEB92">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DN100（1.6MPa）</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CEF24">
            <w:pPr>
              <w:keepNext w:val="0"/>
              <w:keepLines w:val="0"/>
              <w:widowControl/>
              <w:suppressLineNumbers w:val="0"/>
              <w:jc w:val="both"/>
              <w:textAlignment w:val="bottom"/>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138FE">
            <w:pPr>
              <w:keepNext w:val="0"/>
              <w:keepLines w:val="0"/>
              <w:widowControl/>
              <w:suppressLineNumbers w:val="0"/>
              <w:jc w:val="both"/>
              <w:textAlignment w:val="bottom"/>
              <w:rPr>
                <w:rFonts w:hint="eastAsia" w:ascii="Calibri" w:hAnsi="Calibri" w:eastAsia="宋体" w:cs="Calibri"/>
                <w:i w:val="0"/>
                <w:iCs w:val="0"/>
                <w:color w:val="000000"/>
                <w:sz w:val="21"/>
                <w:szCs w:val="21"/>
                <w:u w:val="none"/>
                <w:lang w:val="en-US" w:eastAsia="zh-CN"/>
              </w:rPr>
            </w:pPr>
            <w:r>
              <w:rPr>
                <w:rFonts w:hint="eastAsia" w:ascii="Calibri" w:hAnsi="Calibri" w:eastAsia="宋体" w:cs="Calibri"/>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69960394">
            <w:pPr>
              <w:jc w:val="both"/>
              <w:rPr>
                <w:rFonts w:hint="eastAsia" w:ascii="宋体" w:hAnsi="宋体" w:eastAsia="宋体" w:cs="宋体"/>
                <w:i w:val="0"/>
                <w:iCs w:val="0"/>
                <w:color w:val="000000"/>
                <w:kern w:val="2"/>
                <w:sz w:val="21"/>
                <w:szCs w:val="21"/>
                <w:u w:val="none"/>
                <w:lang w:val="en-US" w:eastAsia="zh-CN" w:bidi="ar-SA"/>
              </w:rPr>
            </w:pPr>
          </w:p>
        </w:tc>
        <w:tc>
          <w:tcPr>
            <w:tcW w:w="693"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5C31A6C">
            <w:pPr>
              <w:jc w:val="both"/>
              <w:rPr>
                <w:rFonts w:hint="default" w:ascii="Tahoma" w:hAnsi="Tahoma" w:eastAsia="Tahoma" w:cs="Tahoma"/>
                <w:i w:val="0"/>
                <w:iCs w:val="0"/>
                <w:color w:val="000000"/>
                <w:sz w:val="22"/>
                <w:szCs w:val="22"/>
                <w:u w:val="none"/>
              </w:rPr>
            </w:pPr>
          </w:p>
        </w:tc>
        <w:tc>
          <w:tcPr>
            <w:tcW w:w="148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0D02D7">
            <w:pPr>
              <w:jc w:val="both"/>
              <w:rPr>
                <w:rFonts w:hint="default" w:ascii="Tahoma" w:hAnsi="Tahoma" w:eastAsia="Tahoma" w:cs="Tahoma"/>
                <w:i w:val="0"/>
                <w:iCs w:val="0"/>
                <w:color w:val="000000"/>
                <w:sz w:val="22"/>
                <w:szCs w:val="22"/>
                <w:u w:val="none"/>
              </w:rPr>
            </w:pPr>
            <w:r>
              <w:rPr>
                <w:rFonts w:hint="eastAsia" w:ascii="宋体" w:hAnsi="宋体" w:eastAsia="宋体" w:cs="宋体"/>
                <w:i w:val="0"/>
                <w:iCs w:val="0"/>
                <w:color w:val="000000"/>
                <w:sz w:val="21"/>
                <w:szCs w:val="21"/>
                <w:u w:val="none"/>
                <w:lang w:val="en-US" w:eastAsia="zh-CN"/>
              </w:rPr>
              <w:t>安装于出水端</w:t>
            </w:r>
          </w:p>
        </w:tc>
      </w:tr>
      <w:tr w14:paraId="19ABC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332" w:type="pct"/>
            <w:vMerge w:val="continue"/>
            <w:tcBorders>
              <w:left w:val="single" w:color="000000" w:sz="4" w:space="0"/>
              <w:bottom w:val="single" w:color="000000" w:sz="4" w:space="0"/>
              <w:right w:val="single" w:color="000000" w:sz="4" w:space="0"/>
            </w:tcBorders>
            <w:shd w:val="clear" w:color="auto" w:fill="auto"/>
            <w:noWrap/>
            <w:vAlign w:val="center"/>
          </w:tcPr>
          <w:p w14:paraId="7EE612FE">
            <w:pPr>
              <w:jc w:val="both"/>
              <w:rPr>
                <w:rFonts w:hint="eastAsia" w:ascii="宋体" w:hAnsi="宋体" w:eastAsia="宋体" w:cs="宋体"/>
                <w:i w:val="0"/>
                <w:iCs w:val="0"/>
                <w:color w:val="000000"/>
                <w:sz w:val="22"/>
                <w:szCs w:val="22"/>
                <w:u w:val="none"/>
                <w:lang w:val="en-US" w:eastAsia="zh-CN"/>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67CD1">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电动蝶阀</w:t>
            </w:r>
          </w:p>
        </w:tc>
        <w:tc>
          <w:tcPr>
            <w:tcW w:w="11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EAFBA">
            <w:pPr>
              <w:jc w:val="both"/>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DN100</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2F80B">
            <w:pPr>
              <w:keepNext w:val="0"/>
              <w:keepLines w:val="0"/>
              <w:widowControl/>
              <w:suppressLineNumbers w:val="0"/>
              <w:jc w:val="both"/>
              <w:textAlignment w:val="bottom"/>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1E5D5">
            <w:pPr>
              <w:keepNext w:val="0"/>
              <w:keepLines w:val="0"/>
              <w:widowControl/>
              <w:suppressLineNumbers w:val="0"/>
              <w:jc w:val="both"/>
              <w:textAlignment w:val="bottom"/>
              <w:rPr>
                <w:rFonts w:hint="eastAsia" w:ascii="Calibri" w:hAnsi="Calibri" w:eastAsia="宋体" w:cs="Calibri"/>
                <w:i w:val="0"/>
                <w:iCs w:val="0"/>
                <w:color w:val="000000"/>
                <w:sz w:val="21"/>
                <w:szCs w:val="21"/>
                <w:u w:val="none"/>
                <w:lang w:val="en-US" w:eastAsia="zh-CN"/>
              </w:rPr>
            </w:pPr>
            <w:r>
              <w:rPr>
                <w:rFonts w:hint="eastAsia" w:ascii="Calibri" w:hAnsi="Calibri" w:eastAsia="宋体" w:cs="Calibri"/>
                <w:i w:val="0"/>
                <w:iCs w:val="0"/>
                <w:color w:val="000000"/>
                <w:sz w:val="21"/>
                <w:szCs w:val="21"/>
                <w:u w:val="none"/>
                <w:lang w:val="en-US" w:eastAsia="zh-CN"/>
              </w:rPr>
              <w:t>1</w:t>
            </w:r>
          </w:p>
        </w:tc>
        <w:tc>
          <w:tcPr>
            <w:tcW w:w="604" w:type="pct"/>
            <w:tcBorders>
              <w:top w:val="single" w:color="000000" w:sz="4" w:space="0"/>
              <w:left w:val="single" w:color="000000" w:sz="4" w:space="0"/>
              <w:bottom w:val="single" w:color="000000" w:sz="4" w:space="0"/>
              <w:right w:val="single" w:color="auto" w:sz="4" w:space="0"/>
            </w:tcBorders>
            <w:shd w:val="clear" w:color="auto" w:fill="auto"/>
            <w:vAlign w:val="center"/>
          </w:tcPr>
          <w:p w14:paraId="72DB740A">
            <w:pPr>
              <w:jc w:val="both"/>
              <w:rPr>
                <w:rFonts w:hint="eastAsia" w:ascii="宋体" w:hAnsi="宋体" w:eastAsia="宋体" w:cs="宋体"/>
                <w:i w:val="0"/>
                <w:iCs w:val="0"/>
                <w:color w:val="000000"/>
                <w:kern w:val="2"/>
                <w:sz w:val="21"/>
                <w:szCs w:val="21"/>
                <w:u w:val="none"/>
                <w:lang w:val="en-US" w:eastAsia="zh-CN" w:bidi="ar-SA"/>
              </w:rPr>
            </w:pPr>
          </w:p>
        </w:tc>
        <w:tc>
          <w:tcPr>
            <w:tcW w:w="693"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0BC917D">
            <w:pPr>
              <w:jc w:val="both"/>
              <w:rPr>
                <w:rFonts w:hint="default" w:ascii="Tahoma" w:hAnsi="Tahoma" w:eastAsia="Tahoma" w:cs="Tahoma"/>
                <w:i w:val="0"/>
                <w:iCs w:val="0"/>
                <w:color w:val="000000"/>
                <w:sz w:val="22"/>
                <w:szCs w:val="22"/>
                <w:u w:val="none"/>
              </w:rPr>
            </w:pPr>
          </w:p>
        </w:tc>
        <w:tc>
          <w:tcPr>
            <w:tcW w:w="148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5A44E7">
            <w:pPr>
              <w:jc w:val="both"/>
              <w:rPr>
                <w:rFonts w:hint="default" w:ascii="Tahoma" w:hAnsi="Tahoma" w:eastAsia="Tahoma" w:cs="Tahoma"/>
                <w:i w:val="0"/>
                <w:iCs w:val="0"/>
                <w:color w:val="000000"/>
                <w:sz w:val="22"/>
                <w:szCs w:val="22"/>
                <w:u w:val="none"/>
              </w:rPr>
            </w:pPr>
            <w:r>
              <w:rPr>
                <w:rFonts w:hint="eastAsia" w:ascii="宋体" w:hAnsi="宋体" w:eastAsia="宋体" w:cs="宋体"/>
                <w:i w:val="0"/>
                <w:iCs w:val="0"/>
                <w:color w:val="000000"/>
                <w:sz w:val="21"/>
                <w:szCs w:val="21"/>
                <w:u w:val="none"/>
                <w:lang w:val="en-US" w:eastAsia="zh-CN"/>
              </w:rPr>
              <w:t>安装于进水端</w:t>
            </w:r>
          </w:p>
        </w:tc>
      </w:tr>
    </w:tbl>
    <w:p w14:paraId="1AA8D625">
      <w:pPr>
        <w:pStyle w:val="22"/>
        <w:spacing w:after="0" w:line="360" w:lineRule="auto"/>
        <w:ind w:left="0" w:leftChars="0"/>
        <w:rPr>
          <w:rFonts w:hint="eastAsia" w:ascii="宋体" w:hAnsi="宋体" w:cs="楷体"/>
          <w:sz w:val="24"/>
          <w:szCs w:val="24"/>
          <w:highlight w:val="none"/>
        </w:rPr>
      </w:pPr>
    </w:p>
    <w:p w14:paraId="77F48A1D">
      <w:pPr>
        <w:pStyle w:val="22"/>
        <w:spacing w:after="0" w:line="360" w:lineRule="auto"/>
        <w:ind w:left="0" w:leftChars="0"/>
        <w:rPr>
          <w:rFonts w:ascii="宋体" w:hAnsi="宋体" w:cs="楷体"/>
          <w:sz w:val="24"/>
          <w:szCs w:val="24"/>
          <w:highlight w:val="none"/>
        </w:rPr>
      </w:pPr>
      <w:r>
        <w:rPr>
          <w:rFonts w:hint="eastAsia" w:ascii="宋体" w:hAnsi="宋体" w:cs="楷体"/>
          <w:sz w:val="24"/>
          <w:szCs w:val="24"/>
          <w:highlight w:val="none"/>
        </w:rPr>
        <w:t>注：1、</w:t>
      </w:r>
      <w:bookmarkStart w:id="38" w:name="OLE_LINK1"/>
      <w:r>
        <w:rPr>
          <w:rFonts w:hint="eastAsia" w:ascii="宋体" w:hAnsi="宋体" w:cs="楷体"/>
          <w:sz w:val="24"/>
          <w:szCs w:val="24"/>
          <w:highlight w:val="none"/>
        </w:rPr>
        <w:t>以上水泵型号参数为设计参数，与厂家实际生产水泵参数存在偏差，请各投标单位结合设计参数及实际生产水泵参数进行选型，并在投标文件中提供选型依据。</w:t>
      </w:r>
      <w:bookmarkEnd w:id="38"/>
    </w:p>
    <w:p w14:paraId="15E408DB">
      <w:pPr>
        <w:pStyle w:val="22"/>
        <w:spacing w:after="0" w:line="360" w:lineRule="auto"/>
        <w:rPr>
          <w:rFonts w:ascii="宋体" w:hAnsi="宋体" w:cs="楷体"/>
          <w:sz w:val="24"/>
          <w:szCs w:val="24"/>
          <w:highlight w:val="none"/>
        </w:rPr>
      </w:pPr>
      <w:r>
        <w:rPr>
          <w:rFonts w:hint="eastAsia" w:ascii="宋体" w:hAnsi="宋体" w:cs="楷体"/>
          <w:sz w:val="24"/>
          <w:szCs w:val="24"/>
          <w:highlight w:val="none"/>
        </w:rPr>
        <w:t>2、报价需附水泵、控制柜、成套设备附件及无负压罐体等分项明细报价。</w:t>
      </w:r>
    </w:p>
    <w:p w14:paraId="581F2236">
      <w:pPr>
        <w:pStyle w:val="22"/>
        <w:spacing w:line="360" w:lineRule="auto"/>
        <w:ind w:left="0" w:leftChars="0" w:firstLine="354" w:firstLineChars="147"/>
        <w:rPr>
          <w:rFonts w:ascii="宋体" w:hAnsi="宋体" w:cs="楷体"/>
          <w:b/>
          <w:sz w:val="24"/>
          <w:szCs w:val="24"/>
          <w:highlight w:val="none"/>
        </w:rPr>
      </w:pPr>
      <w:r>
        <w:rPr>
          <w:rFonts w:hint="eastAsia" w:ascii="宋体" w:hAnsi="宋体" w:cs="楷体"/>
          <w:b/>
          <w:sz w:val="24"/>
          <w:szCs w:val="24"/>
          <w:highlight w:val="none"/>
        </w:rPr>
        <w:t xml:space="preserve">（二）招标设备的基本要求及技术参数： </w:t>
      </w:r>
    </w:p>
    <w:p w14:paraId="421AC653">
      <w:pPr>
        <w:spacing w:line="360" w:lineRule="auto"/>
        <w:ind w:left="0" w:leftChars="0" w:firstLine="480" w:firstLineChars="200"/>
        <w:rPr>
          <w:rFonts w:ascii="宋体" w:hAnsi="宋体" w:eastAsia="宋体" w:cs="楷体"/>
          <w:kern w:val="0"/>
          <w:sz w:val="24"/>
          <w:szCs w:val="24"/>
          <w:highlight w:val="none"/>
        </w:rPr>
      </w:pPr>
      <w:r>
        <w:rPr>
          <w:rFonts w:hint="eastAsia" w:ascii="宋体" w:hAnsi="宋体" w:eastAsia="宋体" w:cs="楷体"/>
          <w:kern w:val="0"/>
          <w:sz w:val="24"/>
          <w:szCs w:val="24"/>
          <w:highlight w:val="none"/>
        </w:rPr>
        <w:t>本标书中所有需提供原件的条款，提供由市级及以上司法局公证处出具的公证件具有同等效力。</w:t>
      </w:r>
    </w:p>
    <w:p w14:paraId="19B7AA3E">
      <w:pPr>
        <w:pStyle w:val="22"/>
        <w:spacing w:line="360" w:lineRule="auto"/>
        <w:ind w:left="0" w:leftChars="0" w:firstLine="501" w:firstLineChars="209"/>
        <w:rPr>
          <w:rFonts w:ascii="宋体" w:hAnsi="宋体" w:cs="楷体"/>
          <w:sz w:val="24"/>
          <w:szCs w:val="24"/>
          <w:highlight w:val="none"/>
        </w:rPr>
      </w:pPr>
      <w:r>
        <w:rPr>
          <w:rFonts w:hint="eastAsia" w:ascii="宋体" w:hAnsi="宋体" w:cs="楷体"/>
          <w:sz w:val="24"/>
          <w:szCs w:val="24"/>
          <w:highlight w:val="none"/>
        </w:rPr>
        <w:t>本次招标的罐式无负压供水设备各项技术符合无负压行业标准CJ/T303-2008或无负压国家标准GB/T26003-2010。</w:t>
      </w:r>
    </w:p>
    <w:p w14:paraId="4B0EAA28">
      <w:pPr>
        <w:pStyle w:val="22"/>
        <w:spacing w:line="360" w:lineRule="auto"/>
        <w:rPr>
          <w:rFonts w:ascii="宋体" w:hAnsi="宋体" w:cs="楷体"/>
          <w:b/>
          <w:sz w:val="24"/>
          <w:szCs w:val="24"/>
          <w:highlight w:val="none"/>
        </w:rPr>
      </w:pPr>
      <w:r>
        <w:rPr>
          <w:rFonts w:hint="eastAsia" w:ascii="宋体" w:hAnsi="宋体" w:cs="楷体"/>
          <w:b/>
          <w:sz w:val="24"/>
          <w:szCs w:val="24"/>
          <w:highlight w:val="none"/>
        </w:rPr>
        <w:t>无负压供水设备采购范围</w:t>
      </w:r>
    </w:p>
    <w:p w14:paraId="559126B3">
      <w:pPr>
        <w:pStyle w:val="22"/>
        <w:tabs>
          <w:tab w:val="left" w:pos="0"/>
        </w:tabs>
        <w:spacing w:line="360" w:lineRule="auto"/>
        <w:ind w:left="0" w:leftChars="0" w:firstLine="480" w:firstLineChars="200"/>
        <w:rPr>
          <w:rFonts w:ascii="宋体" w:hAnsi="宋体" w:cs="楷体"/>
          <w:sz w:val="24"/>
          <w:szCs w:val="24"/>
          <w:highlight w:val="none"/>
        </w:rPr>
      </w:pPr>
      <w:r>
        <w:rPr>
          <w:rFonts w:hint="eastAsia" w:ascii="宋体" w:hAnsi="宋体" w:cs="楷体"/>
          <w:sz w:val="24"/>
          <w:szCs w:val="24"/>
          <w:highlight w:val="none"/>
        </w:rPr>
        <w:t>从设备总进口蝶阀开始，至总出口蝶阀（手动）为界，含控制柜、总进水电动蝶阀、伸缩器、电磁流量计、压力变送器、电接点压力表(压力开关)、罐体液位开关、过滤器、倒流防止器等，投标人按此再优化设计，确定无负压给水设备清单。</w:t>
      </w:r>
    </w:p>
    <w:p w14:paraId="1F221155">
      <w:pPr>
        <w:pStyle w:val="22"/>
        <w:spacing w:line="360" w:lineRule="auto"/>
        <w:rPr>
          <w:rFonts w:ascii="宋体" w:hAnsi="宋体" w:cs="楷体"/>
          <w:b/>
          <w:sz w:val="24"/>
          <w:szCs w:val="24"/>
          <w:highlight w:val="none"/>
        </w:rPr>
      </w:pPr>
      <w:r>
        <w:rPr>
          <w:rFonts w:hint="eastAsia" w:ascii="宋体" w:hAnsi="宋体" w:cs="楷体"/>
          <w:b/>
          <w:sz w:val="24"/>
          <w:szCs w:val="24"/>
          <w:highlight w:val="none"/>
        </w:rPr>
        <w:t>技术要求</w:t>
      </w:r>
    </w:p>
    <w:p w14:paraId="24EC899B">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1.设备及其管道布置应做到结构合理、检修方便、便于操作与观测。不锈钢表面应做镜面或亚光酸洗钝化处理。设备各焊接处应符合GB985、GB/T983、YB/T5098及GB50236的规定。控制柜外壳应喷塑或采用不锈钢材质。控制柜面板上各种指示灯及仪器齐全，指示牌指示准确清晰，距离2米可辨清指示牌内容。所有元件均应具有耐久而清晰的铭牌，应能防止气候条件的影响和腐蚀。铭牌上应标明主要的额定参数，如水泵名称、型号、扬程、流量、电机额定电压、额定频率、相数、绝缘等级、密封防护等级，制造日期和出厂编号等。</w:t>
      </w:r>
    </w:p>
    <w:p w14:paraId="1C605624">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2．成套设备要求采用流量控制器、稳流补偿器、真空抑制器、负压反馈等技术，特别是应具有防止流量突变导致压力瞬间异常波动，以及控制超量取水的技术手段、措施和装置，以确保设备工作时对供水主管网不产生负压影响，对下游的市政供水也不能产生影响。并且能对水质进行在线监测并做出相应的反应，实现智能化控制。设备进水口处不应对市政给水管网或有压管网产生负压。吸入口压力低于0.20MPa时自动停泵，吸入口压力达到0.22MPa时自动恢复运行。设备启动时，泵吸水口压力下降值不得超过0.02MPa。</w:t>
      </w:r>
    </w:p>
    <w:p w14:paraId="6EC90D3A">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3．设备进水口可利用的水压下限值，应不低于供水企业核定的、能够确保系统接入点周边其他用水的最低压力值。低于设定值时能报警上游泵站采取措施、自动停机；水源水压恢复后应能自动启动。设备应具有小流量停机保压功能，在用水低峰或夜间小流量时应能自动切换为小流量停机保压的工作状态。</w:t>
      </w:r>
    </w:p>
    <w:p w14:paraId="745AEC0E">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4．设备应设有超压保护功能，应能保证设备在运行过程中出现超压时自动调整压力、停止运行并报警，压力偏低时能自动恢复正常运行。</w:t>
      </w:r>
    </w:p>
    <w:p w14:paraId="3EF4B9BF">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5．设备应具有手动/自动恒压供水功能。在手动状态，当触摸屏和PLC故障时，可以通过手操器设定变频器实现恒压供水，在自动状态，则通过PLC实现恒压供水；恒压供水时，压力控制误差不应超过±0.01MPa。</w:t>
      </w:r>
    </w:p>
    <w:p w14:paraId="536891AE">
      <w:pPr>
        <w:pStyle w:val="22"/>
        <w:spacing w:after="0" w:line="360" w:lineRule="auto"/>
        <w:ind w:left="0" w:leftChars="0" w:firstLine="480" w:firstLineChars="200"/>
        <w:rPr>
          <w:rFonts w:ascii="宋体" w:hAnsi="宋体" w:cs="楷体"/>
          <w:sz w:val="24"/>
          <w:szCs w:val="24"/>
          <w:highlight w:val="none"/>
        </w:rPr>
      </w:pPr>
      <w:r>
        <w:rPr>
          <w:rFonts w:hint="eastAsia" w:ascii="宋体" w:hAnsi="宋体" w:cs="楷体"/>
          <w:sz w:val="24"/>
          <w:szCs w:val="24"/>
          <w:highlight w:val="none"/>
        </w:rPr>
        <w:t>6．成套设备配用的水泵应采用低噪声、节能型的立式离心泵，水泵设定应能互相交替运行。用水量不均衡且持续时间较长时，即设备应具有减泵直至停泵保压功能。水泵配套电机为节能电机，绝缘等级为F 级以上，防护等级为IP55 以上。成套设备应具备节能措施，需加以具体说明。</w:t>
      </w:r>
    </w:p>
    <w:p w14:paraId="38109565">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7．每台水泵进出口处安装检修阀，进出管道应加设柔性接头，在水泵出口处和检修阀之间装设静音式止回阀。</w:t>
      </w:r>
    </w:p>
    <w:p w14:paraId="4D99CD25">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8．整套设备必须为全密闭结构，确保水体与空气的完全隔离，无二次污染。设备各密封连接处在设计压力的1.5倍压力下，保压30分钟无渗漏。同时设备在全封闭的基础上，稳流补偿器中储水在来水量小于用水量时应能及时补充到用户。</w:t>
      </w:r>
    </w:p>
    <w:p w14:paraId="0CA22E45">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9．成套设备的性能、材质和卫生要求等，应满足供水行政主管部门及供水企业对供水水质、管网安全、用水管理、生产调度等方面的要求。</w:t>
      </w:r>
    </w:p>
    <w:p w14:paraId="764F14FE">
      <w:pPr>
        <w:pStyle w:val="22"/>
        <w:spacing w:after="0" w:line="360" w:lineRule="auto"/>
        <w:ind w:left="0" w:leftChars="0" w:firstLine="480" w:firstLineChars="200"/>
        <w:rPr>
          <w:rFonts w:ascii="宋体" w:hAnsi="宋体" w:cs="楷体"/>
          <w:sz w:val="24"/>
          <w:szCs w:val="24"/>
          <w:highlight w:val="none"/>
        </w:rPr>
      </w:pPr>
      <w:r>
        <w:rPr>
          <w:rFonts w:hint="eastAsia" w:ascii="宋体" w:hAnsi="宋体" w:cs="楷体"/>
          <w:sz w:val="24"/>
          <w:szCs w:val="24"/>
          <w:highlight w:val="none"/>
        </w:rPr>
        <w:t>10．系统运行参数设定方法应简单明了，易于操作。设定值包括：进水压力值（启泵、停泵设定值）、出水压力设定值、出水压力保护值、变频器频率上下限值、出水压力过压保护值等。</w:t>
      </w:r>
    </w:p>
    <w:p w14:paraId="7EF6071F">
      <w:pPr>
        <w:pStyle w:val="22"/>
        <w:spacing w:after="0" w:line="360" w:lineRule="auto"/>
        <w:ind w:left="0" w:leftChars="0" w:firstLine="508" w:firstLineChars="212"/>
        <w:rPr>
          <w:rFonts w:ascii="宋体" w:hAnsi="宋体" w:cs="楷体"/>
          <w:sz w:val="24"/>
          <w:szCs w:val="24"/>
          <w:highlight w:val="none"/>
        </w:rPr>
      </w:pPr>
      <w:r>
        <w:rPr>
          <w:rFonts w:hint="eastAsia" w:ascii="宋体" w:hAnsi="宋体" w:cs="楷体"/>
          <w:sz w:val="24"/>
          <w:szCs w:val="24"/>
          <w:highlight w:val="none"/>
        </w:rPr>
        <w:t>11．设备具有远程监控功能。监测的数据和参数要求详见“自动化系统要求”的“3．远程数据传输要求”部分。同时需预留浊度仪、余氯仪、流量计或远传水表的数据接口，所有数据能实时传输到供水企业调度中心。</w:t>
      </w:r>
    </w:p>
    <w:p w14:paraId="3281B5A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cs="楷体"/>
          <w:sz w:val="24"/>
          <w:szCs w:val="24"/>
          <w:highlight w:val="none"/>
        </w:rPr>
        <w:t>12．控制变频器配置数量应与水泵一致，实现一对一控制；所有水泵都能通过控制系统</w:t>
      </w:r>
      <w:r>
        <w:rPr>
          <w:rFonts w:hint="eastAsia" w:ascii="宋体" w:hAnsi="宋体" w:eastAsia="宋体" w:cs="楷体"/>
          <w:sz w:val="24"/>
          <w:szCs w:val="24"/>
          <w:highlight w:val="none"/>
        </w:rPr>
        <w:t>切换实现变频控制运行；各水泵应具备自动切换运行和自动巡检功能，保证每台泵的工作时间基本相同；变频器性能参数必须与水泵相适配，能对自身故障和报警信号，通过现场自控系统采集数据上传至供水企业调度中心。</w:t>
      </w:r>
    </w:p>
    <w:p w14:paraId="0699070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13．变频泵应具有良好的变速性能，能与变频器配合保持最佳效率点，并能在30Hz 低转速下保证安全连续运行。</w:t>
      </w:r>
    </w:p>
    <w:p w14:paraId="3EBAF26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14．成套设备所有系统组件应能在以下电源条件下正常工作：380V±10% AC，50Hz±2Hz，谐波失真值最大到5%。</w:t>
      </w:r>
    </w:p>
    <w:p w14:paraId="75040BF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15．设备应具有过压、欠压、缺相、短路、过载、过热等故障报警及自动保护功能，应能在停电后复电时自动启动，对可恢复的故障应能自动或手动消除，恢复正常运行。</w:t>
      </w:r>
    </w:p>
    <w:p w14:paraId="714158C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16．电气控制柜面板应有电源、电流、电压、水泵启停状况、频率、故障声光报警等显示功能。</w:t>
      </w:r>
    </w:p>
    <w:p w14:paraId="198FAF7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17．成套设备应具备防雷、安全接地及过电压保护措施。需具备电源保护、网络保护和信号保护。</w:t>
      </w:r>
    </w:p>
    <w:p w14:paraId="49E6FDF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18．水泵及电气控制柜、PLC 控制柜应能在环境温度－15℃~＋55℃、相对湿度95%情况下连续正常工作。</w:t>
      </w:r>
    </w:p>
    <w:p w14:paraId="72C936C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19.连续运行功能。设备在额定流量及压力的条件下，连续运转不少于12小时后，各部件不应产生影响正常运行的故障，且水泵运转无杂音和其他异常现象。各水泵应能自动平滑切换运行，有效防止水锤现象，管路水流平稳，压力稳定；各泵互为备用，保证每台泵的工作时间基本相同。同时工作泵出现故障时，自动转入其它泵运行，并报警。</w:t>
      </w:r>
    </w:p>
    <w:p w14:paraId="12DD00D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20.设备应具有无水自动停机和有水自动开机功能。设备在水源无水时应能自动停机保护，并具有报警功能，水源水压恢复后应能自动启动。因电接点压力表容易造成水泵的频繁启停，故设备进水压力控制应用压力传感器控制或远传压力表，不能使用电接点压力表。出水压力可选用压力传感器或是远传压力表，进水需使用压力传感器。</w:t>
      </w:r>
    </w:p>
    <w:p w14:paraId="784B47B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21.防水锤功能：设备必须具有有效防水锤的技术措施及采用相关的装置来解决停泵水锤和弥合水锤。</w:t>
      </w:r>
    </w:p>
    <w:p w14:paraId="2212324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22.防爆管保护功能：系统应有过载、短路、过压、缺相、欠压、过热和缺水等故障报警及自动保护功能，设备在运行过程中出现超压时自动停止运行并报警，超压消除后能自动恢复正常运行；出现因出水管网爆管等原因造成的泄压时自动停止运行并报警，低压解除后设备能自动投入运行。</w:t>
      </w:r>
    </w:p>
    <w:p w14:paraId="593B94C4">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23.防淹水功能：泵房内应设置地面溢水探测装置，系统应具备溢流保护功能，发生溢流事故时自动关闭进水电动阀门，并进行声光报警、短信通知（现场和远程同时报警）。</w:t>
      </w:r>
    </w:p>
    <w:p w14:paraId="45726BD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24.管道放空功能：在设备出水横管顶端设置放水阀门一只，放空管接入地面排水槽（放空管道安装由采购人负责），便于管道检修时排水使用。</w:t>
      </w:r>
    </w:p>
    <w:p w14:paraId="322AEEA3">
      <w:pPr>
        <w:pStyle w:val="22"/>
        <w:spacing w:before="240" w:line="360" w:lineRule="auto"/>
        <w:rPr>
          <w:rFonts w:ascii="宋体" w:hAnsi="宋体" w:cs="楷体"/>
          <w:b/>
          <w:sz w:val="24"/>
          <w:szCs w:val="24"/>
          <w:highlight w:val="none"/>
        </w:rPr>
      </w:pPr>
      <w:r>
        <w:rPr>
          <w:rFonts w:hint="eastAsia" w:ascii="宋体" w:hAnsi="宋体" w:cs="楷体"/>
          <w:b/>
          <w:sz w:val="24"/>
          <w:szCs w:val="24"/>
          <w:highlight w:val="none"/>
        </w:rPr>
        <w:t>供配电系统要求</w:t>
      </w:r>
    </w:p>
    <w:p w14:paraId="6238EE6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成套设备配置独立的电气控制柜，落地安装，应采取防尘、防水、防潮等安全措施，电控系统要求有三级防雷装置，柜体侧面安装强制通风风扇。电气设备防雷应加装电源三级防雷，所有4—20mA模拟量输入输出信号加装信号防雷。</w:t>
      </w:r>
    </w:p>
    <w:p w14:paraId="10343DF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电气控制柜所有电气元件应通过检定符合国家标准要求。电器元件布置及导线排列符合电磁防护要求。柜面安装指针式或数字式电压表，指示三相进线电压。配电系统的电气间隙与爬电距离、绝缘电阻与介电强度、安全接地保护、电磁兼容性（EMC）试验、环境试验要求、强度和严密性要求等电气性能均应符合国家相关规程规定。</w:t>
      </w:r>
    </w:p>
    <w:p w14:paraId="2DDA165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3．电气控制柜的构造和外形尺寸应满足功能要求。与PLC柜等其它柜体设备并列安装时，宜尽量做到外观及颜色协调。</w:t>
      </w:r>
    </w:p>
    <w:p w14:paraId="127C3D3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4．电气控制柜结构为前面开门，后面板可拆卸，前后有密封材料。</w:t>
      </w:r>
    </w:p>
    <w:p w14:paraId="56FB1DD4">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5．电气控制柜制作钢板采用国产优质冷扎板，板厚不低于2mm。柜体外壳防护等级不低于IP54。</w:t>
      </w:r>
    </w:p>
    <w:p w14:paraId="1FF9DF8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6．电气控制柜及安装板、支架内外表面需作静电喷塑处理。</w:t>
      </w:r>
    </w:p>
    <w:p w14:paraId="35755CB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7．电气控制柜应有防雷击和防过电压措施并有可靠保护接地端子。</w:t>
      </w:r>
    </w:p>
    <w:p w14:paraId="4F0DE0D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8．电气控制柜内所有的导线、电缆都要作合适的标记，以互相识别。在导线、电缆终端接线后，应采用不可移动的箍套或用清洁的热收缩套管作标签固定在接结端子排前，不得使用吊牌作标签。标签应同现场线缆的标识系统相一致，且每根线缆的标识都是唯一的，控制柜电缆应为防火、阻燃型。。</w:t>
      </w:r>
    </w:p>
    <w:p w14:paraId="4554BED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9．控制柜其主开关、断路器、互感器、接触器、继电器等电气元器件应选用ABB、西门子、施耐德品牌。电气控制柜面板的按钮、开关及仪表等易于操作且功能标识齐全清晰。控制柜宜具有抗干扰性能，控制柜指示灯宜采用防电磁干扰型，控制柜内的4-20mA模拟量输入输出信号必须有隔离。</w:t>
      </w:r>
    </w:p>
    <w:p w14:paraId="2623F3C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10．柜体外应设置人机界面，配10.4英寸以上真彩高分辨率触摸屏。嵌入安装在PLC 控制柜正面面板，并有防水、防潮等安全措施。</w:t>
      </w:r>
    </w:p>
    <w:p w14:paraId="231237E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11. 在电源进线处靠近总配电箱（柜）处应设置总等电位联结箱。</w:t>
      </w:r>
    </w:p>
    <w:p w14:paraId="2B622265">
      <w:pPr>
        <w:pStyle w:val="22"/>
        <w:spacing w:line="360" w:lineRule="auto"/>
        <w:rPr>
          <w:rFonts w:ascii="宋体" w:hAnsi="宋体" w:cs="楷体"/>
          <w:b/>
          <w:sz w:val="24"/>
          <w:szCs w:val="24"/>
          <w:highlight w:val="none"/>
        </w:rPr>
      </w:pPr>
      <w:r>
        <w:rPr>
          <w:rFonts w:hint="eastAsia" w:ascii="宋体" w:hAnsi="宋体" w:cs="楷体"/>
          <w:b/>
          <w:sz w:val="24"/>
          <w:szCs w:val="24"/>
          <w:highlight w:val="none"/>
        </w:rPr>
        <w:t>自动化系统要求</w:t>
      </w:r>
    </w:p>
    <w:p w14:paraId="6AFA0432">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1．基本要求：</w:t>
      </w:r>
    </w:p>
    <w:p w14:paraId="47F96404">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应配置独立的PLC 控制柜。柜体的制造和安装方式等其它要求同电气控制柜。如果柜体空间和体积允许，PLC 控制柜和电气控制柜也可以合成制造为一个控制柜。应按照国家或者行业标准对于无负压功能的要求，配备能够实现相关功能的软件模块。成套设备运行必须有“手动/自动”两种运行方式，并通过转换开关进行运行方式切换。在自动运行方式下，应具有缺压自动开机、自动恒压、小流量保压、超压自动停机、无水自动停机、机泵定时自动轮换、自动节能停机过流过压过载自动保护等功能；所有机泵均实现变频启停，对水泵故障、水源故障、电源故障和变频器故障具有自检、报警或自动保护功能，并对可恢复的故障能自动消警，恢复正常运行。增压设备的进、出口控制压力应能够在人机界面上授权设定，其设定精度为0.01MPa。泵站控制系统采用“就地、现场PLC、总公司调度中心”三级控制模式。就地控制优先级最高，调度中心控制优先级最低。就地控制级有“就地/遥控”两种方式，“就地”是在设备现场电气控制屏上通过按钮控制；“遥控”是通过现场PLC 控制级和调度中心控制级进行控制。当现场PLC 站发生故障时，可通过就地控制级上的“就地/遥控”选择开关切换实现就地手动操作。现场PLC 控制级设有“手动/自动”两种方式，“手动”是在现场PLC操作员面板上通过图形化触摸按钮操作；“自动”是由程序根据工艺情况动运行设备。调度中心控制级则在计算机上通过SCADA 图形和鼠标键盘操作。当远程传输网络出现故障时，现场PLC 可独立完成监控任务，使现场工作流程仍能正常运行。当触摸屏和PLC故障时，仍可在现场就地状态通过设定完成恒压供水。</w:t>
      </w:r>
    </w:p>
    <w:p w14:paraId="45F7019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2．现场自动控制与检测设备主要技术指标要求：</w:t>
      </w:r>
    </w:p>
    <w:p w14:paraId="06BC12A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（1）PLC（必配）</w:t>
      </w:r>
    </w:p>
    <w:p w14:paraId="72ACBA0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Ⅰ：PLC应采用西门子S7-200及以上、施耐德M340系列、罗克韦尔任一系列，以太网标准接口，TCP/IP协议。</w:t>
      </w:r>
    </w:p>
    <w:p w14:paraId="3163DBE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Ⅱ：采用32 位及以上工业级微处理器，处理速度应达到微秒级，工作内存不小于64K；</w:t>
      </w:r>
    </w:p>
    <w:p w14:paraId="652B44A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Ⅲ：要具有高速脉冲输出能力和高速计数输入能力；</w:t>
      </w:r>
    </w:p>
    <w:p w14:paraId="570084C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Ⅳ：支持RS485通讯方式；</w:t>
      </w:r>
    </w:p>
    <w:p w14:paraId="11C3D6C2">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Ⅴ：配10.4英寸以上真彩高分辨率触摸屏。嵌入安装在PLC 控制柜正面面板，并有防水、防潮等安全措施。</w:t>
      </w:r>
    </w:p>
    <w:p w14:paraId="2B2DAD1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（2）在线仪表</w:t>
      </w:r>
    </w:p>
    <w:p w14:paraId="468ED5F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1）压力变送器（必配件。要求成套设备管路入口、出口端均设置，入口、出口处均配置压力传感器超(高低)压保护功能，数据接入PLC）：</w:t>
      </w:r>
    </w:p>
    <w:p w14:paraId="7476E87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量 程：0-1.6MPa（可根据工程实际需要选定）；</w:t>
      </w:r>
    </w:p>
    <w:p w14:paraId="4723FDC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精 度：1.0%；</w:t>
      </w:r>
    </w:p>
    <w:p w14:paraId="2D43FB5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稳 定 性：十二个月0.1%；</w:t>
      </w:r>
    </w:p>
    <w:p w14:paraId="6C1561F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量 程 比：10:1；</w:t>
      </w:r>
    </w:p>
    <w:p w14:paraId="5353DB5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模拟输出：4-20mA DC；</w:t>
      </w:r>
    </w:p>
    <w:p w14:paraId="02F6134A">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防护等级：IP65；</w:t>
      </w:r>
    </w:p>
    <w:p w14:paraId="670A426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表头显示：LCD 数字显示；</w:t>
      </w:r>
    </w:p>
    <w:p w14:paraId="281CE9D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品牌要求：采用西门子、ABB、丹佛斯、E+H品牌产品。</w:t>
      </w:r>
    </w:p>
    <w:p w14:paraId="039D773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2）分体式电磁流量计（必配件。要求每套成套设备管路出口处设置，数据接入PLC）：</w:t>
      </w:r>
    </w:p>
    <w:p w14:paraId="0DE5A62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测量介质：自来水</w:t>
      </w:r>
    </w:p>
    <w:p w14:paraId="15DAEC0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流量测量范围及量程比：&gt;1：100</w:t>
      </w:r>
    </w:p>
    <w:p w14:paraId="5213ED6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流速范围：-10—10 m／s</w:t>
      </w:r>
    </w:p>
    <w:p w14:paraId="15D520AA">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介质导电率：&gt;20us／cm</w:t>
      </w:r>
    </w:p>
    <w:p w14:paraId="44967E3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测量精度： ≤示值±0.4％</w:t>
      </w:r>
    </w:p>
    <w:p w14:paraId="24DD78D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显示方式：LCD显示瞬时流量4位，累积流量8位</w:t>
      </w:r>
    </w:p>
    <w:p w14:paraId="04714B4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介质温度：0～50℃</w:t>
      </w:r>
    </w:p>
    <w:p w14:paraId="5AF3D04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压力：1.0-2.5Mpa，根据出口压力配套设置</w:t>
      </w:r>
    </w:p>
    <w:p w14:paraId="43636E5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使用环境：变送器温度 -20℃～+60℃；传感器温度 -10℃～+60℃</w:t>
      </w:r>
    </w:p>
    <w:p w14:paraId="36B1F07B">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输出信号: 4-20mA</w:t>
      </w:r>
    </w:p>
    <w:p w14:paraId="62F5EF2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电源：180-260VAC</w:t>
      </w:r>
    </w:p>
    <w:p w14:paraId="335ECF5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防护等级：IP68</w:t>
      </w:r>
    </w:p>
    <w:p w14:paraId="732682E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衬里材料：硬橡胶</w:t>
      </w:r>
    </w:p>
    <w:p w14:paraId="795F493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电极材料：不锈钢316L</w:t>
      </w:r>
    </w:p>
    <w:p w14:paraId="00AAEE5B">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电极形式：四电极，具备空管检测功能，带接地环2片</w:t>
      </w:r>
    </w:p>
    <w:p w14:paraId="1FDED4F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信号转换器：要求电容按键触摸控制</w:t>
      </w:r>
    </w:p>
    <w:p w14:paraId="67C820C4">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励磁和信号电缆：要求原装配套，长度根据现场实际确定</w:t>
      </w:r>
    </w:p>
    <w:p w14:paraId="47DAA01A">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材质：法兰材料（不锈钢）；外壳材料（碳钢、铝、不锈钢）</w:t>
      </w:r>
    </w:p>
    <w:p w14:paraId="3E4AE2B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品牌要求：采用西门子、E+H、科隆品牌产品。</w:t>
      </w:r>
    </w:p>
    <w:p w14:paraId="28963D4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（3）电动蝶阀（必配件，要求成套设备管路入口处设置，如多套设备共用一路进水管的，只需安装在进水总管上，配一体化电动执行机构，远程控制接入PLC，触摸屏上也可操作）</w:t>
      </w:r>
    </w:p>
    <w:p w14:paraId="135B546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蝶阀均为软密封；压力等级为1.0Mpa；配一体化电动执行机构；</w:t>
      </w:r>
    </w:p>
    <w:p w14:paraId="144124E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蝶阀为双偏心结构，应双向密封(DN＞300)；DN≤300为全内衬，中线型法兰蝶阀；</w:t>
      </w:r>
    </w:p>
    <w:p w14:paraId="7C377BC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蝶阀的本体材质为球墨铸铁QT450-10；</w:t>
      </w:r>
      <w:r>
        <w:rPr>
          <w:rFonts w:hint="eastAsia" w:ascii="宋体" w:hAnsi="宋体" w:eastAsia="宋体" w:cs="楷体"/>
          <w:sz w:val="24"/>
          <w:szCs w:val="24"/>
          <w:highlight w:val="none"/>
        </w:rPr>
        <w:tab/>
      </w:r>
      <w:r>
        <w:rPr>
          <w:rFonts w:hint="eastAsia" w:ascii="宋体" w:hAnsi="宋体" w:eastAsia="宋体" w:cs="楷体"/>
          <w:sz w:val="24"/>
          <w:szCs w:val="24"/>
          <w:highlight w:val="none"/>
        </w:rPr>
        <w:tab/>
      </w:r>
      <w:r>
        <w:rPr>
          <w:rFonts w:hint="eastAsia" w:ascii="宋体" w:hAnsi="宋体" w:eastAsia="宋体" w:cs="楷体"/>
          <w:sz w:val="24"/>
          <w:szCs w:val="24"/>
          <w:highlight w:val="none"/>
        </w:rPr>
        <w:tab/>
      </w:r>
      <w:r>
        <w:rPr>
          <w:rFonts w:hint="eastAsia" w:ascii="宋体" w:hAnsi="宋体" w:eastAsia="宋体" w:cs="楷体"/>
          <w:sz w:val="24"/>
          <w:szCs w:val="24"/>
          <w:highlight w:val="none"/>
        </w:rPr>
        <w:tab/>
      </w:r>
      <w:r>
        <w:rPr>
          <w:rFonts w:hint="eastAsia" w:ascii="宋体" w:hAnsi="宋体" w:eastAsia="宋体" w:cs="楷体"/>
          <w:sz w:val="24"/>
          <w:szCs w:val="24"/>
          <w:highlight w:val="none"/>
        </w:rPr>
        <w:tab/>
      </w:r>
      <w:r>
        <w:rPr>
          <w:rFonts w:hint="eastAsia" w:ascii="宋体" w:hAnsi="宋体" w:eastAsia="宋体" w:cs="楷体"/>
          <w:sz w:val="24"/>
          <w:szCs w:val="24"/>
          <w:highlight w:val="none"/>
        </w:rPr>
        <w:tab/>
      </w:r>
    </w:p>
    <w:p w14:paraId="2D85BA0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适用温度：－20℃～80℃；</w:t>
      </w:r>
    </w:p>
    <w:p w14:paraId="7FD208C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PH   值： 4—9；</w:t>
      </w:r>
    </w:p>
    <w:p w14:paraId="05196C3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xml:space="preserve"> 适用介质：水、空气及弱腐蚀性流体；</w:t>
      </w:r>
    </w:p>
    <w:p w14:paraId="6828DE0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品牌要求：蝶阀-AVK、VAG、上海冠龙，电动执行机构-常州电站辅机（SND智能开关型）、天津天二通（IMC智能开关型）、Auma、Rotork、Centork。</w:t>
      </w:r>
    </w:p>
    <w:p w14:paraId="41BED45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（4）不间断电源（UPS）（必配件）</w:t>
      </w:r>
    </w:p>
    <w:p w14:paraId="2CAA245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为便于后台数据保存，要求在现场PLC 控制柜内配装不间断电源（UPS）装置。对UPS 的性能要求：</w:t>
      </w:r>
    </w:p>
    <w:p w14:paraId="5B8F798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Ⅰ：电网断电前后输出的波形是连续的正弦波，充电电流自动控制。</w:t>
      </w:r>
    </w:p>
    <w:p w14:paraId="5B8F6ED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Ⅱ：具有过流、过压、短路保护功能。</w:t>
      </w:r>
    </w:p>
    <w:p w14:paraId="5990660A">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Ⅲ：连续在线运行，并有在线系统自动测试。</w:t>
      </w:r>
    </w:p>
    <w:p w14:paraId="4503240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Ⅳ：输入：单相 162-268V AC，45-55Hz。</w:t>
      </w:r>
    </w:p>
    <w:p w14:paraId="46672FF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Ⅴ：输出：单相 220V AC±10%，50Hz±1Hz。</w:t>
      </w:r>
    </w:p>
    <w:p w14:paraId="1A38268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Ⅵ：容量：220V AC；2KVA。</w:t>
      </w:r>
    </w:p>
    <w:p w14:paraId="0A8CE07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Ⅶ：转换时间：≤10ms</w:t>
      </w:r>
    </w:p>
    <w:p w14:paraId="073B43B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Ⅷ：后备时间：30min。</w:t>
      </w:r>
    </w:p>
    <w:p w14:paraId="667ACE1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Ⅸ：品牌要求：采用山特、艾默生Emerson、APC或华为产品。</w:t>
      </w:r>
    </w:p>
    <w:p w14:paraId="693DE2A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3.远程数据传输要求：</w:t>
      </w:r>
    </w:p>
    <w:p w14:paraId="49ACB8E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应将泵站现场的水压情况、机泵运行数据、变频器参数、电压、电流、故障报警等信息上传至宜兴水务集团供水监测系统，数据主要有：水泵的开启情况，单机水泵的电流、转速、功率、频率、运行时间、启动次数、启停时间点、故障次数；变频器的进出电流、电压、运行频率和温度；水泵出口压力，水泵电流异常、变频器故障、PLC故障UPS 故障、进线电流/电压异常等。远程监控功能采用光纤传输的，光纤由运行单位提供，中标单位负责编制组态界面（Wonderware Intouch），嵌入运行单位的二次供水平台，可以进行远程参数设置和远程应急操作，并将数据上传至供水监测系统；远程监控功能采用RTU传输的，物联网卡由由运行单位提供，中标单位负责将数据进行上传至供水监测系统。</w:t>
      </w:r>
    </w:p>
    <w:p w14:paraId="3884F43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4．远程监控软件要求（主要针对供水企业调度中心软件）：</w:t>
      </w:r>
    </w:p>
    <w:p w14:paraId="00578F0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远程监控软件应有现场工艺流程图，反映生产运行实时数据，可以在线修改现场各类控制参数，触摸屏上可设置的参数必须可通过远程监控组态软件进行设置，获得优先权后可对生产过程进行远程控制；应能完成历史数据、趋势曲线的存储、显示与查询，生成各类运行管理报表；应能远程配置现场PLC 的通讯端口和数据上传周期；具有故障处理与恢复功能。</w:t>
      </w:r>
    </w:p>
    <w:p w14:paraId="604A669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户外一体化泵站的门禁系统、入侵报警系统和视频监控系统需接入调度中心进行记录和显示。</w:t>
      </w:r>
    </w:p>
    <w:p w14:paraId="1B5683B3">
      <w:pPr>
        <w:pStyle w:val="22"/>
        <w:spacing w:line="360" w:lineRule="auto"/>
        <w:rPr>
          <w:rFonts w:ascii="宋体" w:hAnsi="宋体" w:cs="楷体"/>
          <w:b/>
          <w:sz w:val="24"/>
          <w:szCs w:val="24"/>
          <w:highlight w:val="none"/>
        </w:rPr>
      </w:pPr>
      <w:r>
        <w:rPr>
          <w:rFonts w:hint="eastAsia" w:ascii="宋体" w:hAnsi="宋体" w:cs="楷体"/>
          <w:b/>
          <w:sz w:val="24"/>
          <w:szCs w:val="24"/>
          <w:highlight w:val="none"/>
        </w:rPr>
        <w:t>生产工厂要求：</w:t>
      </w:r>
    </w:p>
    <w:p w14:paraId="2A658C0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1、在本次招标产品的核心加工（切割、折弯、卷板及自动化焊接集成）工艺上，生产厂家需达到国内先进水平，以达到国际先进水平为优。</w:t>
      </w:r>
    </w:p>
    <w:p w14:paraId="2FDFB83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2、设备需采用焊接清洗仪器或更高级的清洗工艺，以保证罐内焊接残渣的彻底清除。</w:t>
      </w:r>
    </w:p>
    <w:p w14:paraId="1D092DF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3、所有原材料需100%检测，中标后提供权威检测机构出具的检测报告复印件。</w:t>
      </w:r>
    </w:p>
    <w:p w14:paraId="3F3CF87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4、必须能在工厂见到无负压核心部件的生产过程。</w:t>
      </w:r>
    </w:p>
    <w:p w14:paraId="72223C8B">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5、必需是无负压专业生产厂家。</w:t>
      </w:r>
    </w:p>
    <w:p w14:paraId="02D9A6D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6、必须接入宜兴水务集团的远程调度监控系统并实现数据远传至宜兴供水监测系统。</w:t>
      </w:r>
    </w:p>
    <w:p w14:paraId="00FD0FD9">
      <w:pPr>
        <w:pStyle w:val="22"/>
        <w:spacing w:line="360" w:lineRule="auto"/>
        <w:rPr>
          <w:rFonts w:ascii="宋体" w:hAnsi="宋体" w:cs="楷体"/>
          <w:b/>
          <w:sz w:val="24"/>
          <w:szCs w:val="24"/>
          <w:highlight w:val="none"/>
        </w:rPr>
      </w:pPr>
      <w:r>
        <w:rPr>
          <w:rFonts w:hint="eastAsia" w:ascii="宋体" w:hAnsi="宋体" w:cs="楷体"/>
          <w:b/>
          <w:sz w:val="24"/>
          <w:szCs w:val="24"/>
          <w:highlight w:val="none"/>
        </w:rPr>
        <w:t>相关产品材料设备选型应符合以下要求：</w:t>
      </w:r>
    </w:p>
    <w:p w14:paraId="0187457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1．水泵应选用丹麦格兰富、赛莱默、凯士比的不锈钢立式管道离心泵（含配套电机）。</w:t>
      </w:r>
    </w:p>
    <w:p w14:paraId="56E5905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2．变频器应选用功率略大于电机功率，要求采用施耐德、西门子、ABB品牌产品。</w:t>
      </w:r>
    </w:p>
    <w:p w14:paraId="35DA5DE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不锈钢钢板、封头、管道及配件、螺栓（丝）、螺帽、垫片等材质应采用不低于SUS304的食品级不锈钢材质（提供材质理化试验报告证明）。其中稳压补偿罐（含封头）的制造不得采用普通镜面不锈钢板材焊接制作，罐体必须进行表面亚光处理或更高等级的表面工艺处理，卧式安装，不锈钢板厚度用压力容器规范要求制作，壁厚不得小于4mm,工作压力不小于1.0Mpa,罐体储水腔有效容积按照水泵最大瞬时流量计，但输水规模较大，预留地有限，建议用两只罐，两只罐体储水腔有效容积按照水泵最大瞬时流量持续时间不小于1min 考虑。＜DN100不锈钢管道壁厚不应小于3mm，≥DN100不锈钢管壁厚不小于4mm。设备所有过流部件除必要的减震、密封等橡胶材质外全部选用不锈钢材质，应符合相关技术质量标准和卫生防疫要求，不能对水质造成污染。不锈钢化学成分不低于奥氏体不锈钢OCr18Ni9（SUS304）的要求。不锈钢螺栓、垫圈及螺母应与被紧固件材质相同。以上均须提供投标单位的产品质量证明书及无负压设备厂家的材料理化实验报告原件。</w:t>
      </w:r>
    </w:p>
    <w:p w14:paraId="0C1DEBB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所有阀门类产品应选用AVK、VAG、上海冠龙品牌产品或投标单位自有全不锈钢品牌。过滤器要求过滤网采用不低于304不锈钢优质材料，目数不小于25目，不锈钢过滤器应不影响设备进水流量。公称压力不得低于PN10（或根据工程设计需要选定）。阀门、过滤器过流部分采用不低于SUS304的食品级不锈钢材质。</w:t>
      </w:r>
    </w:p>
    <w:p w14:paraId="66882ED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5．法兰应选用符合国标GB9112~9123要求的优质产品，公称压力不得低于PN16（或根据工程设计需要选定）。材质不低于SUS304 的食品级不锈钢等级。</w:t>
      </w:r>
    </w:p>
    <w:p w14:paraId="35B8918D">
      <w:pPr>
        <w:pStyle w:val="22"/>
        <w:spacing w:after="0" w:line="360" w:lineRule="auto"/>
        <w:rPr>
          <w:rFonts w:ascii="宋体" w:hAnsi="宋体" w:cs="楷体"/>
          <w:b/>
          <w:sz w:val="24"/>
          <w:szCs w:val="24"/>
          <w:highlight w:val="none"/>
        </w:rPr>
      </w:pPr>
      <w:r>
        <w:rPr>
          <w:rFonts w:hint="eastAsia" w:ascii="宋体" w:hAnsi="宋体" w:cs="楷体"/>
          <w:b/>
          <w:sz w:val="24"/>
          <w:szCs w:val="24"/>
          <w:highlight w:val="none"/>
        </w:rPr>
        <w:t>其它：</w:t>
      </w:r>
    </w:p>
    <w:p w14:paraId="45FB2AD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1．投标文件中必须明确标明所选产品材料设备品牌及型号。</w:t>
      </w:r>
    </w:p>
    <w:p w14:paraId="18B164C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2．成套设备各工艺参数还应满足具体工程项目设计其它要求</w:t>
      </w:r>
    </w:p>
    <w:p w14:paraId="73E4200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设备安装、调试及验收</w:t>
      </w:r>
    </w:p>
    <w:p w14:paraId="10A77EBC">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1、交货时需要提交的文件</w:t>
      </w:r>
    </w:p>
    <w:p w14:paraId="3787AD7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1）无负压设备出厂检验报告及设计安装施工图文件。</w:t>
      </w:r>
    </w:p>
    <w:p w14:paraId="00AA2A5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施工图、设计变更文件、竣工图；</w:t>
      </w:r>
    </w:p>
    <w:p w14:paraId="16E125F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涉水产品的卫生许可；</w:t>
      </w:r>
    </w:p>
    <w:p w14:paraId="31206DB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工程所包括设备、仪表、材料、系统的合格证、质保卡、说明书等相关资料；</w:t>
      </w:r>
    </w:p>
    <w:p w14:paraId="2D85BD9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 环境噪声监测报告；</w:t>
      </w:r>
    </w:p>
    <w:p w14:paraId="11DABA3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2）设备安装使用说明书。此说明书不应少于以下内容：</w:t>
      </w:r>
    </w:p>
    <w:p w14:paraId="3B1E0FA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●设备装配剖视总图，电气接线图；</w:t>
      </w:r>
    </w:p>
    <w:p w14:paraId="2DDE7CC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●设备安装的方法及安装精度的要求；</w:t>
      </w:r>
    </w:p>
    <w:p w14:paraId="6AE3A02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●设备调试大纲及注意事项；</w:t>
      </w:r>
    </w:p>
    <w:p w14:paraId="0D51C26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●设备运行的程序及记录表格；</w:t>
      </w:r>
    </w:p>
    <w:p w14:paraId="024798D0">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●设备操作与维修手册。</w:t>
      </w:r>
    </w:p>
    <w:p w14:paraId="33ED76B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3）PLC、变量表、触摸屏组态和上位机Intouch组态备份；</w:t>
      </w:r>
    </w:p>
    <w:p w14:paraId="16E7B3C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4）培训手册及培训计划</w:t>
      </w:r>
    </w:p>
    <w:p w14:paraId="7FF691C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5）易损件、备品备件和专用工具清单</w:t>
      </w:r>
    </w:p>
    <w:p w14:paraId="45AC2752">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6）所有技术文件应使用SI 制(国际单位制)。</w:t>
      </w:r>
    </w:p>
    <w:p w14:paraId="35001301">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7）操作维护手册</w:t>
      </w:r>
    </w:p>
    <w:p w14:paraId="74AB13B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8）中标单位应在安装前提供至少四份完整的中文操作维护手册。包含:安装、调试、运行、维护、拆卸、修理等，其内容必须完整、清晰、易于理解（包括外配套设备制造商提供的配套设备维护说明），图表及零件单必须完整、良好印刷及包装。</w:t>
      </w:r>
    </w:p>
    <w:p w14:paraId="16EEE3C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2、竣工验收时重点检查项目</w:t>
      </w:r>
    </w:p>
    <w:p w14:paraId="49F3B8D5">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1）防回流污染设施的安全性；</w:t>
      </w:r>
    </w:p>
    <w:p w14:paraId="34C4749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2）供水设备的减振措施及环境噪声的控制；</w:t>
      </w:r>
    </w:p>
    <w:p w14:paraId="1972BC82">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3）设备、配电柜、控制柜的各项配置、功能与建设要求的一致性，4-20mA信号的隔离、安全接地、防雷等保护功能；</w:t>
      </w:r>
    </w:p>
    <w:p w14:paraId="3D8FB79F">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4）水泵机组运行状况，供水管网水压达到设定值时，系统的可靠性；水泵机组无水、超压等保护动作的可靠性；手动/自动都能实现恒压功能；</w:t>
      </w:r>
    </w:p>
    <w:p w14:paraId="21836106">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5）各类仪器仪表的准确度和设置，电气图、PLC、变量表、触摸屏组态和上位机Intouch组态等备份，所有编程程序和组态不得设置密码。</w:t>
      </w:r>
    </w:p>
    <w:p w14:paraId="6394A32A">
      <w:pPr>
        <w:spacing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三、商务要求：</w:t>
      </w:r>
    </w:p>
    <w:p w14:paraId="2E0D0125">
      <w:pPr>
        <w:pStyle w:val="60"/>
        <w:widowControl/>
        <w:spacing w:line="360" w:lineRule="auto"/>
        <w:ind w:left="479" w:leftChars="228"/>
        <w:jc w:val="left"/>
        <w:rPr>
          <w:rFonts w:ascii="宋体" w:hAnsi="宋体"/>
          <w:bCs/>
          <w:sz w:val="24"/>
          <w:highlight w:val="none"/>
        </w:rPr>
      </w:pPr>
      <w:r>
        <w:rPr>
          <w:rFonts w:hint="eastAsia" w:ascii="宋体" w:hAnsi="宋体"/>
          <w:bCs/>
          <w:sz w:val="24"/>
          <w:highlight w:val="none"/>
        </w:rPr>
        <w:t>1、</w:t>
      </w:r>
      <w:r>
        <w:rPr>
          <w:rFonts w:hint="eastAsia" w:ascii="宋体" w:hAnsi="宋体"/>
          <w:b/>
          <w:sz w:val="24"/>
          <w:highlight w:val="none"/>
        </w:rPr>
        <w:t>服务要求</w:t>
      </w:r>
      <w:r>
        <w:rPr>
          <w:rFonts w:hint="eastAsia" w:ascii="宋体" w:hAnsi="宋体"/>
          <w:bCs/>
          <w:sz w:val="24"/>
          <w:highlight w:val="none"/>
        </w:rPr>
        <w:t>：</w:t>
      </w:r>
    </w:p>
    <w:p w14:paraId="69702C49">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①本次招标的设备提供2年的免费质保，自验收合格之日起进入质保期。</w:t>
      </w:r>
    </w:p>
    <w:p w14:paraId="690D81D3">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②免费质保期内，应提供免除一切费用的售后服务。</w:t>
      </w:r>
    </w:p>
    <w:p w14:paraId="44BF9D7E">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③服务时间的承诺：响应时间为2小时，修复时间为1个工作日，如不能在1个工作日内修复的则应提供备用设备。</w:t>
      </w:r>
    </w:p>
    <w:p w14:paraId="41FBD5F4">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④如设备在免费质保期内发生质量问题，中标单位应在接到采购人报修电话后2小时内予以响应，否则采购人将自行采取必要的措施，由此产生风险和费用应由中标单位承担。</w:t>
      </w:r>
    </w:p>
    <w:p w14:paraId="0EEE76EB">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⑤对于在免费质保期内出现故障确需更换的零配件，中标单位应尽量确保采购单位能更换到原厂同种规格型号的零部件，以确保其正常使用；如因生产厂家停产等客观原因，不能提供同种规格型号的零配件时，应提供同等质量、档次的配件，且不补差价。</w:t>
      </w:r>
    </w:p>
    <w:p w14:paraId="6390EF0B">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⑥在质保期内因设备本身及安装的质量问题发生故障，中标单位应负责免费修理和更换零部件。对达不到使用要求者，经双方协商，可按以下办法处理：</w:t>
      </w:r>
    </w:p>
    <w:p w14:paraId="2347DD87">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（1）退货处理</w:t>
      </w:r>
    </w:p>
    <w:p w14:paraId="56509E4D">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（2）更换设备，由乙方承担由此所发生的所有费用。</w:t>
      </w:r>
    </w:p>
    <w:p w14:paraId="67AA3E98">
      <w:pPr>
        <w:pStyle w:val="22"/>
        <w:spacing w:after="0" w:line="360" w:lineRule="auto"/>
        <w:ind w:left="0" w:leftChars="0" w:firstLine="508" w:firstLineChars="212"/>
        <w:rPr>
          <w:rFonts w:hint="eastAsia" w:ascii="宋体" w:hAnsi="宋体" w:eastAsia="宋体" w:cs="楷体"/>
          <w:sz w:val="24"/>
          <w:szCs w:val="24"/>
          <w:highlight w:val="none"/>
        </w:rPr>
      </w:pPr>
      <w:r>
        <w:rPr>
          <w:rFonts w:hint="eastAsia" w:ascii="宋体" w:hAnsi="宋体" w:eastAsia="宋体" w:cs="楷体"/>
          <w:sz w:val="24"/>
          <w:szCs w:val="24"/>
          <w:highlight w:val="none"/>
        </w:rPr>
        <w:t>（3）贬值处理</w:t>
      </w:r>
    </w:p>
    <w:p w14:paraId="21B56ED8">
      <w:pPr>
        <w:pStyle w:val="60"/>
        <w:widowControl/>
        <w:spacing w:line="360" w:lineRule="auto"/>
        <w:ind w:firstLine="480" w:firstLineChars="200"/>
        <w:jc w:val="left"/>
        <w:rPr>
          <w:rFonts w:ascii="宋体" w:hAnsi="宋体"/>
          <w:bCs/>
          <w:sz w:val="24"/>
          <w:highlight w:val="none"/>
        </w:rPr>
      </w:pPr>
      <w:r>
        <w:rPr>
          <w:rFonts w:hint="eastAsia" w:ascii="宋体" w:hAnsi="宋体"/>
          <w:bCs/>
          <w:sz w:val="24"/>
          <w:highlight w:val="none"/>
        </w:rPr>
        <w:t>2、</w:t>
      </w:r>
      <w:r>
        <w:rPr>
          <w:rFonts w:hint="eastAsia" w:ascii="宋体" w:hAnsi="宋体"/>
          <w:b/>
          <w:sz w:val="24"/>
          <w:highlight w:val="none"/>
        </w:rPr>
        <w:t>交货地点</w:t>
      </w:r>
      <w:r>
        <w:rPr>
          <w:rFonts w:hint="eastAsia" w:ascii="宋体" w:hAnsi="宋体"/>
          <w:bCs/>
          <w:sz w:val="24"/>
          <w:highlight w:val="none"/>
        </w:rPr>
        <w:t>：</w:t>
      </w:r>
      <w:r>
        <w:rPr>
          <w:rFonts w:hint="eastAsia" w:ascii="宋体" w:hAnsi="宋体" w:cs="宋体"/>
          <w:kern w:val="0"/>
          <w:sz w:val="24"/>
          <w:highlight w:val="none"/>
        </w:rPr>
        <w:t>宜兴市内采购人指定地点</w:t>
      </w:r>
      <w:r>
        <w:rPr>
          <w:rFonts w:hint="eastAsia" w:ascii="宋体" w:hAnsi="宋体"/>
          <w:bCs/>
          <w:sz w:val="24"/>
          <w:highlight w:val="none"/>
        </w:rPr>
        <w:t>。</w:t>
      </w:r>
    </w:p>
    <w:p w14:paraId="46B79102">
      <w:pPr>
        <w:pStyle w:val="60"/>
        <w:widowControl/>
        <w:spacing w:line="360" w:lineRule="auto"/>
        <w:ind w:firstLine="480" w:firstLineChars="200"/>
        <w:jc w:val="left"/>
        <w:rPr>
          <w:rFonts w:ascii="宋体" w:hAnsi="宋体"/>
          <w:bCs/>
          <w:sz w:val="24"/>
          <w:highlight w:val="none"/>
        </w:rPr>
      </w:pPr>
      <w:r>
        <w:rPr>
          <w:rFonts w:hint="eastAsia" w:ascii="宋体" w:hAnsi="宋体"/>
          <w:bCs/>
          <w:sz w:val="24"/>
          <w:highlight w:val="none"/>
        </w:rPr>
        <w:t>3、</w:t>
      </w:r>
      <w:r>
        <w:rPr>
          <w:rFonts w:hint="eastAsia" w:ascii="宋体" w:hAnsi="宋体"/>
          <w:b/>
          <w:sz w:val="24"/>
          <w:highlight w:val="none"/>
        </w:rPr>
        <w:t>交货期限</w:t>
      </w:r>
      <w:r>
        <w:rPr>
          <w:rFonts w:hint="eastAsia" w:ascii="宋体" w:hAnsi="宋体"/>
          <w:bCs/>
          <w:sz w:val="24"/>
          <w:highlight w:val="none"/>
        </w:rPr>
        <w:t>：</w:t>
      </w:r>
    </w:p>
    <w:p w14:paraId="10B9DEA2">
      <w:pPr>
        <w:pStyle w:val="60"/>
        <w:widowControl/>
        <w:spacing w:line="360" w:lineRule="auto"/>
        <w:ind w:firstLine="480" w:firstLineChars="200"/>
        <w:jc w:val="left"/>
        <w:rPr>
          <w:rFonts w:ascii="宋体" w:hAnsi="宋体" w:cs="宋体"/>
          <w:color w:val="0000FF"/>
          <w:kern w:val="0"/>
          <w:sz w:val="24"/>
          <w:highlight w:val="none"/>
          <w:u w:val="single"/>
        </w:rPr>
      </w:pPr>
      <w:r>
        <w:rPr>
          <w:rFonts w:ascii="宋体" w:hAnsi="宋体" w:cs="宋体"/>
          <w:color w:val="0000FF"/>
          <w:kern w:val="0"/>
          <w:sz w:val="24"/>
          <w:highlight w:val="none"/>
          <w:u w:val="single"/>
        </w:rPr>
        <w:t>中标单位接到发货通知之日起分批供货，</w:t>
      </w:r>
      <w:r>
        <w:rPr>
          <w:rFonts w:hint="eastAsia" w:ascii="宋体" w:hAnsi="宋体" w:cs="宋体"/>
          <w:color w:val="0000FF"/>
          <w:kern w:val="0"/>
          <w:sz w:val="24"/>
          <w:highlight w:val="none"/>
          <w:u w:val="single"/>
        </w:rPr>
        <w:t>30天</w:t>
      </w:r>
      <w:r>
        <w:rPr>
          <w:rFonts w:ascii="宋体" w:hAnsi="宋体" w:cs="宋体"/>
          <w:color w:val="0000FF"/>
          <w:kern w:val="0"/>
          <w:sz w:val="24"/>
          <w:highlight w:val="none"/>
          <w:u w:val="single"/>
        </w:rPr>
        <w:t>内</w:t>
      </w:r>
      <w:r>
        <w:rPr>
          <w:rFonts w:hint="eastAsia" w:ascii="宋体" w:hAnsi="宋体" w:cs="宋体"/>
          <w:color w:val="0000FF"/>
          <w:kern w:val="0"/>
          <w:sz w:val="24"/>
          <w:highlight w:val="none"/>
          <w:u w:val="single"/>
        </w:rPr>
        <w:t>必须</w:t>
      </w:r>
      <w:r>
        <w:rPr>
          <w:rFonts w:ascii="宋体" w:hAnsi="宋体" w:cs="宋体"/>
          <w:color w:val="0000FF"/>
          <w:kern w:val="0"/>
          <w:sz w:val="24"/>
          <w:highlight w:val="none"/>
          <w:u w:val="single"/>
        </w:rPr>
        <w:t>把货物送达</w:t>
      </w:r>
      <w:r>
        <w:rPr>
          <w:rFonts w:hint="eastAsia" w:ascii="宋体" w:hAnsi="宋体" w:cs="宋体"/>
          <w:color w:val="0000FF"/>
          <w:kern w:val="0"/>
          <w:sz w:val="24"/>
          <w:highlight w:val="none"/>
          <w:u w:val="single"/>
          <w:lang w:eastAsia="zh-CN"/>
        </w:rPr>
        <w:t>采购人</w:t>
      </w:r>
      <w:r>
        <w:rPr>
          <w:rFonts w:ascii="宋体" w:hAnsi="宋体" w:cs="宋体"/>
          <w:color w:val="0000FF"/>
          <w:kern w:val="0"/>
          <w:sz w:val="24"/>
          <w:highlight w:val="none"/>
          <w:u w:val="single"/>
        </w:rPr>
        <w:t>指定的供货现场。</w:t>
      </w:r>
      <w:r>
        <w:rPr>
          <w:rFonts w:hint="eastAsia" w:ascii="宋体" w:hAnsi="宋体" w:cs="宋体"/>
          <w:color w:val="0000FF"/>
          <w:kern w:val="0"/>
          <w:sz w:val="24"/>
          <w:highlight w:val="none"/>
          <w:u w:val="single"/>
        </w:rPr>
        <w:t>到货时间以施工单位、监理及现场负责人共同签收时间为准。</w:t>
      </w:r>
    </w:p>
    <w:p w14:paraId="3C154B92">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在供货期限内，中标单位必须按照采购</w:t>
      </w:r>
      <w:r>
        <w:rPr>
          <w:rFonts w:hint="eastAsia" w:ascii="宋体" w:hAnsi="宋体" w:cs="宋体"/>
          <w:kern w:val="0"/>
          <w:sz w:val="24"/>
          <w:highlight w:val="none"/>
          <w:lang w:val="en-US" w:eastAsia="zh-CN"/>
        </w:rPr>
        <w:t>人</w:t>
      </w:r>
      <w:r>
        <w:rPr>
          <w:rFonts w:hint="eastAsia" w:ascii="宋体" w:hAnsi="宋体" w:cs="宋体"/>
          <w:kern w:val="0"/>
          <w:sz w:val="24"/>
          <w:highlight w:val="none"/>
        </w:rPr>
        <w:t>的工程进度要求和实际需要数量保证供货的连续性，如延误交货或中断供货将承担违约责任。</w:t>
      </w:r>
    </w:p>
    <w:p w14:paraId="2B03FE05">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①如</w:t>
      </w:r>
      <w:r>
        <w:rPr>
          <w:rFonts w:hint="eastAsia" w:ascii="宋体" w:hAnsi="宋体" w:cs="宋体"/>
          <w:kern w:val="0"/>
          <w:sz w:val="24"/>
          <w:highlight w:val="none"/>
          <w:lang w:eastAsia="zh-CN"/>
        </w:rPr>
        <w:t>中标单位</w:t>
      </w:r>
      <w:r>
        <w:rPr>
          <w:rFonts w:hint="eastAsia" w:ascii="宋体" w:hAnsi="宋体" w:cs="宋体"/>
          <w:kern w:val="0"/>
          <w:sz w:val="24"/>
          <w:highlight w:val="none"/>
        </w:rPr>
        <w:t>逾期交货，除不可抗力外，</w:t>
      </w:r>
      <w:r>
        <w:rPr>
          <w:rFonts w:hint="eastAsia" w:ascii="宋体" w:hAnsi="宋体" w:cs="宋体"/>
          <w:kern w:val="0"/>
          <w:sz w:val="24"/>
          <w:highlight w:val="none"/>
          <w:lang w:eastAsia="zh-CN"/>
        </w:rPr>
        <w:t>中标单位</w:t>
      </w:r>
      <w:r>
        <w:rPr>
          <w:rFonts w:hint="eastAsia" w:ascii="宋体" w:hAnsi="宋体" w:cs="宋体"/>
          <w:kern w:val="0"/>
          <w:sz w:val="24"/>
          <w:highlight w:val="none"/>
        </w:rPr>
        <w:t>应向</w:t>
      </w:r>
      <w:r>
        <w:rPr>
          <w:rFonts w:hint="eastAsia" w:ascii="宋体" w:hAnsi="宋体" w:cs="宋体"/>
          <w:kern w:val="0"/>
          <w:sz w:val="24"/>
          <w:highlight w:val="none"/>
          <w:lang w:eastAsia="zh-CN"/>
        </w:rPr>
        <w:t>采购人</w:t>
      </w:r>
      <w:r>
        <w:rPr>
          <w:rFonts w:hint="eastAsia" w:ascii="宋体" w:hAnsi="宋体" w:cs="宋体"/>
          <w:kern w:val="0"/>
          <w:sz w:val="24"/>
          <w:highlight w:val="none"/>
        </w:rPr>
        <w:t>就逾期交货部分支付违约金，每逾期供货一天，须扣1000元/套的违约金，</w:t>
      </w:r>
      <w:r>
        <w:rPr>
          <w:rFonts w:hint="eastAsia" w:ascii="宋体" w:hAnsi="宋体" w:cs="宋体"/>
          <w:kern w:val="0"/>
          <w:sz w:val="24"/>
          <w:highlight w:val="none"/>
          <w:lang w:eastAsia="zh-CN"/>
        </w:rPr>
        <w:t>中标单位</w:t>
      </w:r>
      <w:r>
        <w:rPr>
          <w:rFonts w:hint="eastAsia" w:ascii="宋体" w:hAnsi="宋体" w:cs="宋体"/>
          <w:kern w:val="0"/>
          <w:sz w:val="24"/>
          <w:highlight w:val="none"/>
        </w:rPr>
        <w:t>逾期交货超过15天的视为</w:t>
      </w:r>
      <w:r>
        <w:rPr>
          <w:rFonts w:hint="eastAsia" w:ascii="宋体" w:hAnsi="宋体" w:cs="宋体"/>
          <w:kern w:val="0"/>
          <w:sz w:val="24"/>
          <w:highlight w:val="none"/>
          <w:lang w:eastAsia="zh-CN"/>
        </w:rPr>
        <w:t>中标单位</w:t>
      </w:r>
      <w:r>
        <w:rPr>
          <w:rFonts w:hint="eastAsia" w:ascii="宋体" w:hAnsi="宋体" w:cs="宋体"/>
          <w:kern w:val="0"/>
          <w:sz w:val="24"/>
          <w:highlight w:val="none"/>
        </w:rPr>
        <w:t>不履行合同，</w:t>
      </w:r>
      <w:r>
        <w:rPr>
          <w:rFonts w:hint="eastAsia" w:ascii="宋体" w:hAnsi="宋体" w:cs="宋体"/>
          <w:kern w:val="0"/>
          <w:sz w:val="24"/>
          <w:highlight w:val="none"/>
          <w:lang w:eastAsia="zh-CN"/>
        </w:rPr>
        <w:t>采购人</w:t>
      </w:r>
      <w:r>
        <w:rPr>
          <w:rFonts w:hint="eastAsia" w:ascii="宋体" w:hAnsi="宋体" w:cs="宋体"/>
          <w:kern w:val="0"/>
          <w:sz w:val="24"/>
          <w:highlight w:val="none"/>
        </w:rPr>
        <w:t>将解除合同，扣除违约金及履约保证金，如给</w:t>
      </w:r>
      <w:r>
        <w:rPr>
          <w:rFonts w:hint="eastAsia" w:ascii="宋体" w:hAnsi="宋体" w:cs="宋体"/>
          <w:kern w:val="0"/>
          <w:sz w:val="24"/>
          <w:highlight w:val="none"/>
          <w:lang w:eastAsia="zh-CN"/>
        </w:rPr>
        <w:t>采购人</w:t>
      </w:r>
      <w:r>
        <w:rPr>
          <w:rFonts w:hint="eastAsia" w:ascii="宋体" w:hAnsi="宋体" w:cs="宋体"/>
          <w:kern w:val="0"/>
          <w:sz w:val="24"/>
          <w:highlight w:val="none"/>
        </w:rPr>
        <w:t>造成损失的，还应赔偿相应损失。到货时间以施工单位、监理及现场负责人共同签收时间为准。</w:t>
      </w:r>
    </w:p>
    <w:p w14:paraId="2D69ECE8">
      <w:pPr>
        <w:pStyle w:val="60"/>
        <w:widowControl/>
        <w:spacing w:line="360" w:lineRule="auto"/>
        <w:ind w:firstLine="480" w:firstLineChars="200"/>
        <w:jc w:val="left"/>
        <w:rPr>
          <w:rFonts w:hint="eastAsia" w:ascii="宋体" w:hAnsi="宋体" w:eastAsia="宋体" w:cs="宋体"/>
          <w:kern w:val="0"/>
          <w:sz w:val="24"/>
          <w:highlight w:val="none"/>
          <w:lang w:eastAsia="zh-CN"/>
        </w:rPr>
      </w:pPr>
      <w:r>
        <w:rPr>
          <w:rFonts w:hint="eastAsia" w:ascii="宋体" w:hAnsi="宋体" w:cs="宋体"/>
          <w:kern w:val="0"/>
          <w:sz w:val="24"/>
          <w:highlight w:val="none"/>
        </w:rPr>
        <w:t>②如中标单位不按照采购人要求将合同货物送达采购人指定地点的，每次支付违约金为逾期交货部分总价款的千分之八，情节严重的按违约处理，采购人将终止合同，同时对</w:t>
      </w:r>
      <w:r>
        <w:rPr>
          <w:rFonts w:hint="eastAsia" w:ascii="宋体" w:hAnsi="宋体" w:cs="宋体"/>
          <w:kern w:val="0"/>
          <w:sz w:val="24"/>
          <w:highlight w:val="none"/>
          <w:lang w:eastAsia="zh-CN"/>
        </w:rPr>
        <w:t>中标单位</w:t>
      </w:r>
      <w:r>
        <w:rPr>
          <w:rFonts w:hint="eastAsia" w:ascii="宋体" w:hAnsi="宋体" w:cs="宋体"/>
          <w:kern w:val="0"/>
          <w:sz w:val="24"/>
          <w:highlight w:val="none"/>
        </w:rPr>
        <w:t>处以扣除履约保证金的违约处罚</w:t>
      </w:r>
      <w:r>
        <w:rPr>
          <w:rFonts w:hint="eastAsia" w:ascii="宋体" w:hAnsi="宋体" w:cs="宋体"/>
          <w:kern w:val="0"/>
          <w:sz w:val="24"/>
          <w:highlight w:val="none"/>
          <w:lang w:eastAsia="zh-CN"/>
        </w:rPr>
        <w:t>。</w:t>
      </w:r>
    </w:p>
    <w:p w14:paraId="093531CB">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③本项目要求中标单位按招标要求完成设备的设计、供货及安装调试。</w:t>
      </w:r>
    </w:p>
    <w:p w14:paraId="35DBFC7D">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④中标单位应派人员到工地进行到货验收。若发现任何损坏及质量问题，中标人应负责更换设备零件，并妥善处理直至采购人满意。此工作所发生费用应由中标人自行承担。</w:t>
      </w:r>
    </w:p>
    <w:p w14:paraId="430C3054">
      <w:pPr>
        <w:pStyle w:val="60"/>
        <w:widowControl/>
        <w:spacing w:line="360" w:lineRule="auto"/>
        <w:ind w:left="283" w:leftChars="135"/>
        <w:jc w:val="left"/>
        <w:rPr>
          <w:rFonts w:ascii="宋体" w:hAnsi="宋体"/>
          <w:bCs/>
          <w:sz w:val="24"/>
          <w:highlight w:val="none"/>
        </w:rPr>
      </w:pPr>
      <w:r>
        <w:rPr>
          <w:rFonts w:hint="eastAsia" w:ascii="宋体" w:hAnsi="宋体"/>
          <w:bCs/>
          <w:sz w:val="24"/>
          <w:highlight w:val="none"/>
        </w:rPr>
        <w:t xml:space="preserve">  4、</w:t>
      </w:r>
      <w:r>
        <w:rPr>
          <w:rFonts w:hint="eastAsia" w:ascii="宋体" w:hAnsi="宋体"/>
          <w:b/>
          <w:sz w:val="24"/>
          <w:highlight w:val="none"/>
        </w:rPr>
        <w:t>付款步骤</w:t>
      </w:r>
      <w:r>
        <w:rPr>
          <w:rFonts w:hint="eastAsia" w:ascii="宋体" w:hAnsi="宋体"/>
          <w:bCs/>
          <w:sz w:val="24"/>
          <w:highlight w:val="none"/>
        </w:rPr>
        <w:t>：</w:t>
      </w:r>
    </w:p>
    <w:p w14:paraId="770C87DF">
      <w:pPr>
        <w:pStyle w:val="60"/>
        <w:widowControl/>
        <w:spacing w:line="360" w:lineRule="auto"/>
        <w:ind w:firstLine="480" w:firstLineChars="200"/>
        <w:jc w:val="left"/>
        <w:rPr>
          <w:rFonts w:ascii="宋体" w:hAnsi="宋体" w:cs="宋体"/>
          <w:kern w:val="0"/>
          <w:sz w:val="24"/>
          <w:highlight w:val="none"/>
        </w:rPr>
      </w:pPr>
      <w:r>
        <w:rPr>
          <w:rFonts w:ascii="宋体" w:hAnsi="宋体" w:cs="宋体"/>
          <w:color w:val="0000FF"/>
          <w:kern w:val="0"/>
          <w:sz w:val="24"/>
          <w:highlight w:val="none"/>
          <w:u w:val="single"/>
        </w:rPr>
        <w:t>设备送抵</w:t>
      </w:r>
      <w:r>
        <w:rPr>
          <w:rFonts w:hint="eastAsia" w:ascii="宋体" w:hAnsi="宋体" w:cs="宋体"/>
          <w:color w:val="0000FF"/>
          <w:kern w:val="0"/>
          <w:sz w:val="24"/>
          <w:highlight w:val="none"/>
          <w:u w:val="single"/>
          <w:lang w:eastAsia="zh-CN"/>
        </w:rPr>
        <w:t>采购人</w:t>
      </w:r>
      <w:r>
        <w:rPr>
          <w:rFonts w:ascii="宋体" w:hAnsi="宋体" w:cs="宋体"/>
          <w:color w:val="0000FF"/>
          <w:kern w:val="0"/>
          <w:sz w:val="24"/>
          <w:highlight w:val="none"/>
          <w:u w:val="single"/>
        </w:rPr>
        <w:t>指定的施工现场或设备仓库，并经供需双方检查合格后签署到货验收单，</w:t>
      </w:r>
      <w:r>
        <w:rPr>
          <w:rFonts w:hint="eastAsia" w:ascii="宋体" w:hAnsi="宋体" w:cs="宋体"/>
          <w:color w:val="0000FF"/>
          <w:kern w:val="0"/>
          <w:sz w:val="24"/>
          <w:highlight w:val="none"/>
          <w:u w:val="single"/>
          <w:lang w:eastAsia="zh-CN"/>
        </w:rPr>
        <w:t>中标单位</w:t>
      </w:r>
      <w:r>
        <w:rPr>
          <w:rFonts w:ascii="宋体" w:hAnsi="宋体" w:cs="宋体"/>
          <w:color w:val="0000FF"/>
          <w:kern w:val="0"/>
          <w:sz w:val="24"/>
          <w:highlight w:val="none"/>
          <w:u w:val="single"/>
        </w:rPr>
        <w:t>须于当月25日前开具所供货物的全额</w:t>
      </w:r>
      <w:r>
        <w:rPr>
          <w:rFonts w:hint="eastAsia" w:ascii="宋体" w:hAnsi="宋体" w:cs="宋体"/>
          <w:color w:val="0000FF"/>
          <w:kern w:val="0"/>
          <w:sz w:val="24"/>
          <w:highlight w:val="none"/>
          <w:u w:val="single"/>
        </w:rPr>
        <w:t>增值税专用</w:t>
      </w:r>
      <w:r>
        <w:rPr>
          <w:rFonts w:ascii="宋体" w:hAnsi="宋体" w:cs="宋体"/>
          <w:color w:val="0000FF"/>
          <w:kern w:val="0"/>
          <w:sz w:val="24"/>
          <w:highlight w:val="none"/>
          <w:u w:val="single"/>
        </w:rPr>
        <w:t>发票，</w:t>
      </w:r>
      <w:r>
        <w:rPr>
          <w:rFonts w:hint="eastAsia" w:ascii="宋体" w:hAnsi="宋体" w:cs="宋体"/>
          <w:color w:val="0000FF"/>
          <w:kern w:val="0"/>
          <w:sz w:val="24"/>
          <w:highlight w:val="none"/>
          <w:u w:val="single"/>
          <w:lang w:eastAsia="zh-CN"/>
        </w:rPr>
        <w:t>采购人</w:t>
      </w:r>
      <w:r>
        <w:rPr>
          <w:rFonts w:ascii="宋体" w:hAnsi="宋体" w:cs="宋体"/>
          <w:color w:val="0000FF"/>
          <w:kern w:val="0"/>
          <w:sz w:val="24"/>
          <w:highlight w:val="none"/>
          <w:u w:val="single"/>
        </w:rPr>
        <w:t>在30天内支付</w:t>
      </w:r>
      <w:r>
        <w:rPr>
          <w:rFonts w:hint="eastAsia" w:ascii="宋体" w:hAnsi="宋体" w:cs="宋体"/>
          <w:color w:val="0000FF"/>
          <w:kern w:val="0"/>
          <w:sz w:val="24"/>
          <w:highlight w:val="none"/>
          <w:u w:val="single"/>
        </w:rPr>
        <w:t>专用</w:t>
      </w:r>
      <w:r>
        <w:rPr>
          <w:rFonts w:ascii="宋体" w:hAnsi="宋体" w:cs="宋体"/>
          <w:color w:val="0000FF"/>
          <w:kern w:val="0"/>
          <w:sz w:val="24"/>
          <w:highlight w:val="none"/>
          <w:u w:val="single"/>
        </w:rPr>
        <w:t>发票金额的60%货款；（2）设备正常运行验收合格，并完成所供货物的结算审计后30天内支付所供货物</w:t>
      </w:r>
      <w:r>
        <w:rPr>
          <w:rFonts w:hint="eastAsia" w:ascii="宋体" w:hAnsi="宋体" w:cs="宋体"/>
          <w:color w:val="0000FF"/>
          <w:kern w:val="0"/>
          <w:sz w:val="24"/>
          <w:highlight w:val="none"/>
          <w:u w:val="single"/>
        </w:rPr>
        <w:t>专用</w:t>
      </w:r>
      <w:r>
        <w:rPr>
          <w:rFonts w:ascii="宋体" w:hAnsi="宋体" w:cs="宋体"/>
          <w:color w:val="0000FF"/>
          <w:kern w:val="0"/>
          <w:sz w:val="24"/>
          <w:highlight w:val="none"/>
          <w:u w:val="single"/>
        </w:rPr>
        <w:t>发票金额的30%；（3）质保期</w:t>
      </w:r>
      <w:r>
        <w:rPr>
          <w:rFonts w:hint="eastAsia" w:ascii="宋体" w:hAnsi="宋体" w:cs="宋体"/>
          <w:color w:val="0000FF"/>
          <w:kern w:val="0"/>
          <w:sz w:val="24"/>
          <w:highlight w:val="none"/>
          <w:u w:val="single"/>
        </w:rPr>
        <w:t>（以中标单位在投标文件中承诺的质保期为准）</w:t>
      </w:r>
      <w:r>
        <w:rPr>
          <w:rFonts w:ascii="宋体" w:hAnsi="宋体" w:cs="宋体"/>
          <w:color w:val="0000FF"/>
          <w:kern w:val="0"/>
          <w:sz w:val="24"/>
          <w:highlight w:val="none"/>
          <w:u w:val="single"/>
        </w:rPr>
        <w:t>满后，</w:t>
      </w:r>
      <w:r>
        <w:rPr>
          <w:rFonts w:hint="eastAsia" w:ascii="宋体" w:hAnsi="宋体" w:cs="宋体"/>
          <w:color w:val="0000FF"/>
          <w:kern w:val="0"/>
          <w:sz w:val="24"/>
          <w:highlight w:val="none"/>
          <w:u w:val="single"/>
        </w:rPr>
        <w:t>提供符合标书要求的售后服务巡检记录</w:t>
      </w:r>
      <w:r>
        <w:rPr>
          <w:rFonts w:ascii="宋体" w:hAnsi="宋体" w:cs="宋体"/>
          <w:color w:val="0000FF"/>
          <w:kern w:val="0"/>
          <w:sz w:val="24"/>
          <w:highlight w:val="none"/>
          <w:u w:val="single"/>
        </w:rPr>
        <w:t>后30天内支付所供货物</w:t>
      </w:r>
      <w:r>
        <w:rPr>
          <w:rFonts w:hint="eastAsia" w:ascii="宋体" w:hAnsi="宋体" w:cs="宋体"/>
          <w:color w:val="0000FF"/>
          <w:kern w:val="0"/>
          <w:sz w:val="24"/>
          <w:highlight w:val="none"/>
          <w:u w:val="single"/>
        </w:rPr>
        <w:t>专用</w:t>
      </w:r>
      <w:r>
        <w:rPr>
          <w:rFonts w:ascii="宋体" w:hAnsi="宋体" w:cs="宋体"/>
          <w:color w:val="0000FF"/>
          <w:kern w:val="0"/>
          <w:sz w:val="24"/>
          <w:highlight w:val="none"/>
          <w:u w:val="single"/>
        </w:rPr>
        <w:t>发票金额的10%（由于财政结算等流程问题，特殊情况结算会滞后）</w:t>
      </w:r>
    </w:p>
    <w:p w14:paraId="71C09A3F">
      <w:pPr>
        <w:pStyle w:val="60"/>
        <w:widowControl/>
        <w:spacing w:line="360" w:lineRule="auto"/>
        <w:ind w:firstLine="482" w:firstLineChars="200"/>
        <w:jc w:val="left"/>
        <w:rPr>
          <w:rFonts w:ascii="宋体" w:hAnsi="宋体"/>
          <w:b/>
          <w:sz w:val="24"/>
          <w:highlight w:val="none"/>
        </w:rPr>
      </w:pPr>
      <w:r>
        <w:rPr>
          <w:rFonts w:hint="eastAsia" w:ascii="宋体" w:hAnsi="宋体"/>
          <w:b/>
          <w:sz w:val="24"/>
          <w:highlight w:val="none"/>
        </w:rPr>
        <w:t>5、技术培训</w:t>
      </w:r>
    </w:p>
    <w:p w14:paraId="7A879670">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中标单位应对采购人技术人员、操作人员、维修人员进行免费培训，直到采购人技术人员、操作和维修人员能够正确使用设备为止。</w:t>
      </w:r>
    </w:p>
    <w:p w14:paraId="4CE7E4E4">
      <w:pPr>
        <w:pStyle w:val="60"/>
        <w:widowControl/>
        <w:spacing w:before="240" w:line="360" w:lineRule="auto"/>
        <w:ind w:firstLine="361" w:firstLineChars="150"/>
        <w:jc w:val="left"/>
        <w:rPr>
          <w:rFonts w:ascii="宋体" w:hAnsi="宋体"/>
          <w:b/>
          <w:sz w:val="24"/>
          <w:highlight w:val="none"/>
        </w:rPr>
      </w:pPr>
      <w:r>
        <w:rPr>
          <w:rFonts w:hint="eastAsia" w:ascii="宋体" w:hAnsi="宋体"/>
          <w:b/>
          <w:sz w:val="24"/>
          <w:highlight w:val="none"/>
        </w:rPr>
        <w:t xml:space="preserve"> 6、安装及调试</w:t>
      </w:r>
    </w:p>
    <w:p w14:paraId="74BA8118">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w:t>
      </w:r>
      <w:r>
        <w:rPr>
          <w:rFonts w:hint="eastAsia" w:ascii="宋体" w:hAnsi="宋体" w:eastAsia="宋体" w:cs="宋体"/>
          <w:kern w:val="0"/>
          <w:sz w:val="24"/>
          <w:highlight w:val="none"/>
          <w:lang w:eastAsia="zh-CN"/>
        </w:rPr>
        <w:t>中标单位</w:t>
      </w:r>
      <w:r>
        <w:rPr>
          <w:rFonts w:hint="eastAsia" w:ascii="宋体" w:hAnsi="宋体" w:eastAsia="宋体" w:cs="宋体"/>
          <w:kern w:val="0"/>
          <w:sz w:val="24"/>
          <w:highlight w:val="none"/>
        </w:rPr>
        <w:t xml:space="preserve">负责本次设备和系统的安装和调试。在规定保修期内，提供7*24小时售后服务，接到报修电话后2小时内响应并到达现场，按实际情况及时解决问题，提供24小时远程故障排除。   </w:t>
      </w:r>
    </w:p>
    <w:p w14:paraId="328F12FC">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2、免费质保期满后只收取必要费用。在质保期内，每月巡检所有设备并反馈使用方，由使用方签字存档，如未履行，则扣除300元/次（仅对作巡检承诺的投标人产生效力），</w:t>
      </w:r>
      <w:r>
        <w:rPr>
          <w:rFonts w:hint="eastAsia" w:ascii="宋体" w:hAnsi="宋体" w:eastAsia="宋体" w:cs="宋体"/>
          <w:kern w:val="0"/>
          <w:sz w:val="24"/>
          <w:highlight w:val="none"/>
          <w:lang w:eastAsia="zh-CN"/>
        </w:rPr>
        <w:t>采购人</w:t>
      </w:r>
      <w:r>
        <w:rPr>
          <w:rFonts w:hint="eastAsia" w:ascii="宋体" w:hAnsi="宋体" w:eastAsia="宋体" w:cs="宋体"/>
          <w:kern w:val="0"/>
          <w:sz w:val="24"/>
          <w:highlight w:val="none"/>
        </w:rPr>
        <w:t>如邀请</w:t>
      </w:r>
      <w:r>
        <w:rPr>
          <w:rFonts w:hint="eastAsia" w:ascii="宋体" w:hAnsi="宋体" w:eastAsia="宋体" w:cs="宋体"/>
          <w:kern w:val="0"/>
          <w:sz w:val="24"/>
          <w:highlight w:val="none"/>
          <w:lang w:eastAsia="zh-CN"/>
        </w:rPr>
        <w:t>中标单位</w:t>
      </w:r>
      <w:r>
        <w:rPr>
          <w:rFonts w:hint="eastAsia" w:ascii="宋体" w:hAnsi="宋体" w:eastAsia="宋体" w:cs="宋体"/>
          <w:kern w:val="0"/>
          <w:sz w:val="24"/>
          <w:highlight w:val="none"/>
        </w:rPr>
        <w:t>提供非质量问题的其他技术服务，其费用另定。</w:t>
      </w:r>
    </w:p>
    <w:p w14:paraId="04E2A656">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请各投标人提供质量保证及安装调试的方案（包括但不仅限于以下内容）</w:t>
      </w:r>
    </w:p>
    <w:p w14:paraId="746785E9">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(1)在设备安装之前，中标单位应对设备安装处的土建基础进行检查。由于中标单位变动安装条件而引起的费用由中标单位承担。中标单位应派有实践经验的工程技术人员队设备进行安装。</w:t>
      </w:r>
    </w:p>
    <w:p w14:paraId="126F7136">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(2)在安装开始前，中标单位应与采购人一起在现场开箱检查已交货的设备，一旦发现任何缺陷，中标单位应立即修理、补充和更换。</w:t>
      </w:r>
    </w:p>
    <w:p w14:paraId="066C45CC">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在调试期间中标单位应在现场负责安装、测试和调试，以检测其设计、制造、运行效果等。并提供所有测试和调试所需的工具、材料、仪器，一切费用由中标单位负责。所用仪器、仪表应经检定合格并在有效期内。</w:t>
      </w:r>
    </w:p>
    <w:p w14:paraId="4A0D5C71">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(4) 中标单位需根据工程实际进度，及时提交测试和调试方法及记录表格给采购人认可后方可执行。部分或全部测试可根据实际情况在安装期内或后进行。具体中标单位应与采购人确定。</w:t>
      </w:r>
    </w:p>
    <w:p w14:paraId="273776C0">
      <w:pPr>
        <w:pStyle w:val="60"/>
        <w:widowControl/>
        <w:spacing w:line="360" w:lineRule="auto"/>
        <w:ind w:firstLine="361" w:firstLineChars="150"/>
        <w:jc w:val="left"/>
        <w:rPr>
          <w:rFonts w:ascii="宋体" w:hAnsi="宋体"/>
          <w:b/>
          <w:sz w:val="24"/>
          <w:highlight w:val="none"/>
        </w:rPr>
      </w:pPr>
      <w:r>
        <w:rPr>
          <w:rFonts w:hint="eastAsia" w:ascii="宋体" w:hAnsi="宋体"/>
          <w:b/>
          <w:sz w:val="24"/>
          <w:highlight w:val="none"/>
        </w:rPr>
        <w:t xml:space="preserve"> 7、试运行和交付使用</w:t>
      </w:r>
    </w:p>
    <w:p w14:paraId="63CC5E75">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工程的竣工试运行是验证合同中所有设备、系统是否安全、有效地按标书要求运行，中标单位及各设备制造商有责任到现场对调试进行指导与配合。采购人在整个合同工程施工完毕，通过检测与试验证明全部满足合同要求，并且提交的图纸与资料也全部满足要求的情况下才可最终接收。</w:t>
      </w:r>
    </w:p>
    <w:p w14:paraId="511CC0F3">
      <w:pPr>
        <w:pStyle w:val="60"/>
        <w:widowControl/>
        <w:spacing w:line="360" w:lineRule="auto"/>
        <w:ind w:firstLine="482" w:firstLineChars="200"/>
        <w:jc w:val="left"/>
        <w:rPr>
          <w:rFonts w:ascii="宋体" w:hAnsi="宋体"/>
          <w:b/>
          <w:sz w:val="24"/>
          <w:highlight w:val="none"/>
        </w:rPr>
      </w:pPr>
      <w:r>
        <w:rPr>
          <w:rFonts w:hint="eastAsia" w:ascii="宋体" w:hAnsi="宋体"/>
          <w:b/>
          <w:sz w:val="24"/>
          <w:highlight w:val="none"/>
        </w:rPr>
        <w:t>8、售后服务</w:t>
      </w:r>
    </w:p>
    <w:p w14:paraId="3AC1CF08">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(1)维修人员必须在接到维修电话后24 小时内恢复正常供水。若不能在24 小时内解决，须提供同等性能、同等配置的设备替换。在质保期内，与质保和维修相关的所有费用由中标人负责。</w:t>
      </w:r>
    </w:p>
    <w:p w14:paraId="3BE288AA">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(2)中标单位须对合同中规定的设备，提供经调试、试运行、验收合格后，免费质保期期间，因产品设计缺陷或制造质量不良而产生损坏或不能正常工作，中标单位应免费更换、维修和正常保养。</w:t>
      </w:r>
    </w:p>
    <w:p w14:paraId="595654C7">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(3)中标单位须自行付费负责修理和更换任何由于设备自身的质量问题造成的损坏及故障。修好后，中标单位需一式两份报告给采购人，包括故障原因，解决措施，完成修理所需时间及恢复正常运行周期等。</w:t>
      </w:r>
    </w:p>
    <w:p w14:paraId="0C0A1997">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(4)整套系统必须确保24 小时正常运行，即必须配备备用设施。</w:t>
      </w:r>
    </w:p>
    <w:p w14:paraId="5B06B53A">
      <w:pPr>
        <w:pStyle w:val="60"/>
        <w:widowControl/>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(5)中标单位应提供整套设备的终身服务。</w:t>
      </w:r>
    </w:p>
    <w:p w14:paraId="2F0F93BF">
      <w:pPr>
        <w:pStyle w:val="60"/>
        <w:widowControl/>
        <w:spacing w:line="360" w:lineRule="auto"/>
        <w:ind w:firstLine="482" w:firstLineChars="200"/>
        <w:jc w:val="left"/>
        <w:rPr>
          <w:rFonts w:ascii="宋体" w:hAnsi="宋体"/>
          <w:b/>
          <w:sz w:val="24"/>
          <w:highlight w:val="none"/>
        </w:rPr>
      </w:pPr>
      <w:r>
        <w:rPr>
          <w:rFonts w:hint="eastAsia" w:ascii="宋体" w:hAnsi="宋体"/>
          <w:b/>
          <w:sz w:val="24"/>
          <w:highlight w:val="none"/>
        </w:rPr>
        <w:t>9、备品备件供应</w:t>
      </w:r>
    </w:p>
    <w:p w14:paraId="4133A42F">
      <w:pPr>
        <w:pStyle w:val="60"/>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中标单位必须以确保有足够的原厂生产的备件、附件和易损件满足设备正常运行需要。</w:t>
      </w:r>
    </w:p>
    <w:p w14:paraId="1B44A086">
      <w:pPr>
        <w:pStyle w:val="60"/>
        <w:widowControl/>
        <w:spacing w:line="360" w:lineRule="auto"/>
        <w:ind w:firstLine="482" w:firstLineChars="200"/>
        <w:jc w:val="left"/>
        <w:rPr>
          <w:rFonts w:ascii="宋体" w:hAnsi="宋体" w:cs="宋体"/>
          <w:kern w:val="0"/>
          <w:sz w:val="24"/>
          <w:highlight w:val="none"/>
        </w:rPr>
      </w:pPr>
      <w:r>
        <w:rPr>
          <w:rFonts w:hint="eastAsia" w:ascii="宋体" w:hAnsi="宋体"/>
          <w:b/>
          <w:sz w:val="24"/>
          <w:highlight w:val="none"/>
        </w:rPr>
        <w:t>10、合理化建议：</w:t>
      </w:r>
      <w:r>
        <w:rPr>
          <w:rFonts w:hint="eastAsia" w:ascii="宋体" w:hAnsi="宋体" w:cs="宋体"/>
          <w:kern w:val="0"/>
          <w:sz w:val="24"/>
          <w:highlight w:val="none"/>
        </w:rPr>
        <w:t>由投标人自行提供</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若有</w:t>
      </w:r>
      <w:r>
        <w:rPr>
          <w:rFonts w:hint="eastAsia" w:ascii="宋体" w:hAnsi="宋体" w:cs="宋体"/>
          <w:kern w:val="0"/>
          <w:sz w:val="24"/>
          <w:highlight w:val="none"/>
          <w:lang w:eastAsia="zh-CN"/>
        </w:rPr>
        <w:t>）</w:t>
      </w:r>
      <w:r>
        <w:rPr>
          <w:rFonts w:hint="eastAsia" w:ascii="宋体" w:hAnsi="宋体" w:cs="宋体"/>
          <w:kern w:val="0"/>
          <w:sz w:val="24"/>
          <w:highlight w:val="none"/>
        </w:rPr>
        <w:t>。</w:t>
      </w:r>
    </w:p>
    <w:p w14:paraId="51BD1FA1">
      <w:pPr>
        <w:pStyle w:val="60"/>
        <w:widowControl/>
        <w:spacing w:line="360" w:lineRule="auto"/>
        <w:ind w:firstLine="360" w:firstLineChars="150"/>
        <w:jc w:val="left"/>
        <w:rPr>
          <w:rFonts w:ascii="宋体" w:hAnsi="宋体" w:cs="宋体"/>
          <w:kern w:val="0"/>
          <w:sz w:val="24"/>
          <w:highlight w:val="none"/>
        </w:rPr>
      </w:pPr>
    </w:p>
    <w:p w14:paraId="780756B9">
      <w:pPr>
        <w:pStyle w:val="22"/>
        <w:spacing w:after="0"/>
        <w:ind w:left="827" w:leftChars="171" w:hanging="468" w:hangingChars="195"/>
        <w:rPr>
          <w:rFonts w:ascii="宋体" w:hAnsi="宋体" w:cs="楷体"/>
          <w:sz w:val="24"/>
          <w:szCs w:val="24"/>
          <w:highlight w:val="none"/>
        </w:rPr>
      </w:pPr>
    </w:p>
    <w:p w14:paraId="0BBE9AA6">
      <w:pPr>
        <w:pStyle w:val="22"/>
        <w:spacing w:after="0"/>
        <w:ind w:left="827" w:leftChars="171" w:hanging="468" w:hangingChars="195"/>
        <w:rPr>
          <w:rFonts w:ascii="宋体" w:hAnsi="宋体" w:cs="楷体"/>
          <w:sz w:val="24"/>
          <w:szCs w:val="24"/>
          <w:highlight w:val="none"/>
        </w:rPr>
      </w:pPr>
    </w:p>
    <w:p w14:paraId="7B73DE99">
      <w:pPr>
        <w:spacing w:line="360" w:lineRule="auto"/>
        <w:ind w:firstLine="480" w:firstLineChars="200"/>
        <w:rPr>
          <w:rFonts w:ascii="宋体" w:hAnsi="宋体"/>
          <w:sz w:val="24"/>
          <w:szCs w:val="24"/>
          <w:highlight w:val="none"/>
        </w:rPr>
      </w:pPr>
    </w:p>
    <w:p w14:paraId="3225771B">
      <w:pPr>
        <w:spacing w:line="360" w:lineRule="auto"/>
        <w:jc w:val="center"/>
        <w:outlineLvl w:val="0"/>
        <w:rPr>
          <w:rFonts w:ascii="黑体" w:hAnsi="黑体" w:eastAsia="黑体"/>
          <w:sz w:val="28"/>
          <w:highlight w:val="none"/>
        </w:rPr>
      </w:pPr>
      <w:bookmarkStart w:id="39" w:name="_Toc23355"/>
      <w:r>
        <w:rPr>
          <w:rFonts w:hint="eastAsia" w:ascii="黑体" w:hAnsi="黑体" w:eastAsia="黑体"/>
          <w:sz w:val="28"/>
          <w:highlight w:val="none"/>
        </w:rPr>
        <w:br w:type="page"/>
      </w:r>
      <w:bookmarkEnd w:id="39"/>
      <w:bookmarkStart w:id="40" w:name="_Toc487900374"/>
      <w:r>
        <w:rPr>
          <w:rFonts w:hint="eastAsia" w:ascii="黑体" w:hAnsi="黑体" w:eastAsia="黑体"/>
          <w:sz w:val="28"/>
          <w:highlight w:val="none"/>
        </w:rPr>
        <w:t>第五章 合同书（格式文本）</w:t>
      </w:r>
    </w:p>
    <w:p w14:paraId="7558616E">
      <w:pPr>
        <w:spacing w:line="360" w:lineRule="auto"/>
        <w:ind w:firstLine="480" w:firstLineChars="200"/>
        <w:rPr>
          <w:rFonts w:ascii="宋体" w:hAnsi="宋体" w:eastAsia="宋体" w:cs="Times New Roman"/>
          <w:bCs/>
          <w:color w:val="000000"/>
          <w:sz w:val="24"/>
          <w:highlight w:val="none"/>
        </w:rPr>
      </w:pPr>
      <w:r>
        <w:rPr>
          <w:rFonts w:hint="eastAsia" w:ascii="宋体" w:hAnsi="宋体" w:eastAsia="宋体" w:cs="Times New Roman"/>
          <w:bCs/>
          <w:color w:val="000000"/>
          <w:sz w:val="24"/>
          <w:highlight w:val="none"/>
        </w:rPr>
        <w:t>本合同于    年    月    日由宜兴市公用投资管理有限公司（以下简称甲方）与         （以下简称乙方）签订。甲方愿以总价款人民币元（￥）向乙方购买，并经双方协商同意下列条款：</w:t>
      </w:r>
    </w:p>
    <w:p w14:paraId="73E1F8AF">
      <w:pPr>
        <w:spacing w:line="360" w:lineRule="auto"/>
        <w:ind w:firstLine="480" w:firstLineChars="200"/>
        <w:rPr>
          <w:rFonts w:ascii="宋体" w:hAnsi="宋体" w:eastAsia="宋体" w:cs="Times New Roman"/>
          <w:bCs/>
          <w:color w:val="000000"/>
          <w:sz w:val="24"/>
          <w:highlight w:val="none"/>
        </w:rPr>
      </w:pPr>
      <w:r>
        <w:rPr>
          <w:rFonts w:hint="eastAsia" w:ascii="宋体" w:hAnsi="宋体" w:eastAsia="宋体" w:cs="Times New Roman"/>
          <w:bCs/>
          <w:color w:val="000000"/>
          <w:sz w:val="24"/>
          <w:highlight w:val="none"/>
        </w:rPr>
        <w:t>一、本合同供、需双方必须遵守《中华人民共和国民法典》，并各自履行应负的全部责任。</w:t>
      </w:r>
    </w:p>
    <w:p w14:paraId="2B0B2477">
      <w:pPr>
        <w:spacing w:line="360" w:lineRule="auto"/>
        <w:ind w:firstLine="480" w:firstLineChars="200"/>
        <w:rPr>
          <w:rFonts w:ascii="宋体" w:hAnsi="宋体"/>
          <w:bCs/>
          <w:sz w:val="24"/>
          <w:highlight w:val="none"/>
        </w:rPr>
      </w:pPr>
      <w:r>
        <w:rPr>
          <w:rFonts w:hint="eastAsia" w:ascii="宋体" w:hAnsi="宋体"/>
          <w:bCs/>
          <w:sz w:val="24"/>
          <w:highlight w:val="none"/>
        </w:rPr>
        <w:t>二、下列文件均为本合同不可分割部分：</w:t>
      </w:r>
    </w:p>
    <w:p w14:paraId="7E3B3FC5">
      <w:pPr>
        <w:spacing w:line="360" w:lineRule="auto"/>
        <w:ind w:firstLine="480" w:firstLineChars="200"/>
        <w:rPr>
          <w:rFonts w:ascii="宋体" w:hAnsi="宋体"/>
          <w:bCs/>
          <w:sz w:val="24"/>
          <w:highlight w:val="none"/>
        </w:rPr>
      </w:pPr>
      <w:r>
        <w:rPr>
          <w:rFonts w:hint="eastAsia" w:ascii="宋体" w:hAnsi="宋体"/>
          <w:bCs/>
          <w:sz w:val="24"/>
          <w:highlight w:val="none"/>
        </w:rPr>
        <w:t>（1）合同书及所附条款；（2）中标通知书；（3）乙方中标的投标文件；（4）招标文件（采购项目编号：</w:t>
      </w:r>
      <w:r>
        <w:rPr>
          <w:rFonts w:hint="eastAsia" w:ascii="宋体" w:hAnsi="宋体"/>
          <w:bCs/>
          <w:sz w:val="24"/>
          <w:highlight w:val="none"/>
          <w:lang w:eastAsia="zh-CN"/>
        </w:rPr>
        <w:t>YXGQ2025333</w:t>
      </w:r>
      <w:r>
        <w:rPr>
          <w:rFonts w:hint="eastAsia" w:ascii="宋体" w:hAnsi="宋体"/>
          <w:bCs/>
          <w:sz w:val="24"/>
          <w:highlight w:val="none"/>
        </w:rPr>
        <w:t>）；（5）乙方在投标过程中所作的其他有关承诺、声明、书面澄清等。</w:t>
      </w:r>
    </w:p>
    <w:p w14:paraId="35A89489">
      <w:pPr>
        <w:spacing w:line="360" w:lineRule="auto"/>
        <w:ind w:firstLine="480" w:firstLineChars="200"/>
        <w:rPr>
          <w:rFonts w:ascii="宋体" w:hAnsi="宋体"/>
          <w:bCs/>
          <w:sz w:val="24"/>
          <w:highlight w:val="none"/>
        </w:rPr>
      </w:pPr>
      <w:r>
        <w:rPr>
          <w:rFonts w:hint="eastAsia" w:ascii="宋体" w:hAnsi="宋体"/>
          <w:bCs/>
          <w:sz w:val="24"/>
          <w:highlight w:val="none"/>
        </w:rPr>
        <w:t>三、乙方保证全部按照合同条款的规定和交货的期限向甲方提供上述合格的设备和服务。</w:t>
      </w:r>
    </w:p>
    <w:p w14:paraId="601E8B11">
      <w:pPr>
        <w:spacing w:line="360" w:lineRule="auto"/>
        <w:ind w:firstLine="480" w:firstLineChars="200"/>
        <w:rPr>
          <w:rFonts w:ascii="宋体" w:hAnsi="宋体"/>
          <w:bCs/>
          <w:sz w:val="24"/>
          <w:highlight w:val="none"/>
        </w:rPr>
      </w:pPr>
      <w:r>
        <w:rPr>
          <w:rFonts w:hint="eastAsia" w:ascii="宋体" w:hAnsi="宋体"/>
          <w:bCs/>
          <w:sz w:val="24"/>
          <w:highlight w:val="none"/>
        </w:rPr>
        <w:t>四、采购人按照招标文件，组织对中标供应商的供货产品逐项进行验收，在确认供货产品符合采购需求的基础上，填写项目验收单并加盖单位公章。</w:t>
      </w:r>
    </w:p>
    <w:p w14:paraId="56C7ED0D">
      <w:pPr>
        <w:spacing w:line="360" w:lineRule="auto"/>
        <w:ind w:firstLine="480" w:firstLineChars="200"/>
        <w:rPr>
          <w:rFonts w:ascii="宋体" w:hAnsi="宋体"/>
          <w:bCs/>
          <w:sz w:val="24"/>
          <w:highlight w:val="none"/>
        </w:rPr>
      </w:pPr>
      <w:r>
        <w:rPr>
          <w:rFonts w:hint="eastAsia" w:ascii="宋体" w:hAnsi="宋体"/>
          <w:bCs/>
          <w:sz w:val="24"/>
          <w:highlight w:val="none"/>
        </w:rPr>
        <w:t>五、投标人供货完毕凭正式发票按合同规定的时间、步骤和方法与甲方结算采购资金。</w:t>
      </w:r>
    </w:p>
    <w:p w14:paraId="14AA8E2F">
      <w:pPr>
        <w:spacing w:line="360" w:lineRule="auto"/>
        <w:ind w:firstLine="480" w:firstLineChars="200"/>
        <w:rPr>
          <w:rFonts w:ascii="宋体" w:hAnsi="宋体"/>
          <w:bCs/>
          <w:sz w:val="24"/>
          <w:highlight w:val="none"/>
        </w:rPr>
      </w:pPr>
      <w:bookmarkStart w:id="41" w:name="_Toc32439"/>
      <w:r>
        <w:rPr>
          <w:rFonts w:hint="eastAsia" w:ascii="宋体" w:hAnsi="宋体"/>
          <w:bCs/>
          <w:sz w:val="24"/>
          <w:highlight w:val="none"/>
        </w:rPr>
        <w:t>六、本合同一式</w:t>
      </w:r>
      <w:r>
        <w:rPr>
          <w:rFonts w:hint="eastAsia" w:ascii="宋体" w:hAnsi="宋体"/>
          <w:bCs/>
          <w:sz w:val="24"/>
          <w:highlight w:val="none"/>
          <w:lang w:val="en-US" w:eastAsia="zh-CN"/>
        </w:rPr>
        <w:t>伍</w:t>
      </w:r>
      <w:r>
        <w:rPr>
          <w:rFonts w:hint="eastAsia" w:ascii="宋体" w:hAnsi="宋体"/>
          <w:bCs/>
          <w:sz w:val="24"/>
          <w:highlight w:val="none"/>
        </w:rPr>
        <w:t>份，供需双方各持贰份，监管部门存档壹份。</w:t>
      </w:r>
    </w:p>
    <w:tbl>
      <w:tblPr>
        <w:tblStyle w:val="27"/>
        <w:tblW w:w="0" w:type="auto"/>
        <w:jc w:val="center"/>
        <w:tblLayout w:type="fixed"/>
        <w:tblCellMar>
          <w:top w:w="0" w:type="dxa"/>
          <w:left w:w="0" w:type="dxa"/>
          <w:bottom w:w="0" w:type="dxa"/>
          <w:right w:w="0" w:type="dxa"/>
        </w:tblCellMar>
      </w:tblPr>
      <w:tblGrid>
        <w:gridCol w:w="4677"/>
        <w:gridCol w:w="4643"/>
      </w:tblGrid>
      <w:tr w14:paraId="058C7110">
        <w:tblPrEx>
          <w:tblCellMar>
            <w:top w:w="0" w:type="dxa"/>
            <w:left w:w="0" w:type="dxa"/>
            <w:bottom w:w="0" w:type="dxa"/>
            <w:right w:w="0" w:type="dxa"/>
          </w:tblCellMar>
        </w:tblPrEx>
        <w:trPr>
          <w:jc w:val="center"/>
        </w:trPr>
        <w:tc>
          <w:tcPr>
            <w:tcW w:w="4677" w:type="dxa"/>
          </w:tcPr>
          <w:p w14:paraId="65102DD0">
            <w:pPr>
              <w:widowControl/>
              <w:adjustRightInd w:val="0"/>
              <w:jc w:val="left"/>
              <w:rPr>
                <w:rFonts w:ascii="宋体" w:cs="宋体"/>
                <w:kern w:val="0"/>
                <w:sz w:val="24"/>
                <w:highlight w:val="none"/>
                <w:lang w:val="zh-CN"/>
              </w:rPr>
            </w:pPr>
            <w:bookmarkStart w:id="42" w:name="OLE_LINK46"/>
            <w:bookmarkStart w:id="43" w:name="_Toc29499"/>
            <w:r>
              <w:rPr>
                <w:rFonts w:hint="eastAsia" w:ascii="宋体" w:hAnsi="宋体" w:cs="宋体"/>
                <w:kern w:val="0"/>
                <w:sz w:val="24"/>
                <w:highlight w:val="none"/>
                <w:lang w:val="zh-CN"/>
              </w:rPr>
              <w:t>甲方（招标人）：（盖章）</w:t>
            </w:r>
            <w:bookmarkEnd w:id="42"/>
          </w:p>
        </w:tc>
        <w:tc>
          <w:tcPr>
            <w:tcW w:w="4643" w:type="dxa"/>
          </w:tcPr>
          <w:p w14:paraId="2A315CEB">
            <w:pPr>
              <w:widowControl/>
              <w:adjustRightInd w:val="0"/>
              <w:jc w:val="left"/>
              <w:rPr>
                <w:rFonts w:ascii="宋体" w:hAnsi="宋体" w:cs="宋体"/>
                <w:kern w:val="0"/>
                <w:sz w:val="24"/>
                <w:highlight w:val="none"/>
                <w:lang w:val="zh-CN"/>
              </w:rPr>
            </w:pPr>
            <w:r>
              <w:rPr>
                <w:rFonts w:hint="eastAsia" w:ascii="宋体" w:hAnsi="宋体" w:cs="宋体"/>
                <w:kern w:val="0"/>
                <w:sz w:val="24"/>
                <w:highlight w:val="none"/>
                <w:lang w:val="zh-CN"/>
              </w:rPr>
              <w:t>乙方（供应商）：（盖章）</w:t>
            </w:r>
          </w:p>
          <w:p w14:paraId="78B30675">
            <w:pPr>
              <w:widowControl/>
              <w:adjustRightInd w:val="0"/>
              <w:jc w:val="left"/>
              <w:rPr>
                <w:rFonts w:ascii="宋体" w:hAnsi="宋体" w:cs="宋体"/>
                <w:kern w:val="0"/>
                <w:sz w:val="24"/>
                <w:highlight w:val="none"/>
                <w:lang w:val="zh-CN"/>
              </w:rPr>
            </w:pPr>
          </w:p>
        </w:tc>
      </w:tr>
      <w:tr w14:paraId="6A10E610">
        <w:tblPrEx>
          <w:tblCellMar>
            <w:top w:w="0" w:type="dxa"/>
            <w:left w:w="0" w:type="dxa"/>
            <w:bottom w:w="0" w:type="dxa"/>
            <w:right w:w="0" w:type="dxa"/>
          </w:tblCellMar>
        </w:tblPrEx>
        <w:trPr>
          <w:jc w:val="center"/>
        </w:trPr>
        <w:tc>
          <w:tcPr>
            <w:tcW w:w="4677" w:type="dxa"/>
          </w:tcPr>
          <w:p w14:paraId="7710E44C">
            <w:pPr>
              <w:widowControl/>
              <w:adjustRightInd w:val="0"/>
              <w:jc w:val="left"/>
              <w:rPr>
                <w:rFonts w:ascii="宋体" w:hAnsi="宋体" w:cs="宋体"/>
                <w:kern w:val="0"/>
                <w:sz w:val="24"/>
                <w:highlight w:val="none"/>
                <w:lang w:val="zh-CN"/>
              </w:rPr>
            </w:pPr>
            <w:r>
              <w:rPr>
                <w:rFonts w:hint="eastAsia" w:ascii="宋体" w:hAnsi="宋体" w:cs="宋体"/>
                <w:kern w:val="0"/>
                <w:sz w:val="24"/>
                <w:highlight w:val="none"/>
                <w:lang w:val="zh-CN"/>
              </w:rPr>
              <w:t>代表人签字：</w:t>
            </w:r>
          </w:p>
          <w:p w14:paraId="2484EECB">
            <w:pPr>
              <w:widowControl/>
              <w:adjustRightInd w:val="0"/>
              <w:jc w:val="left"/>
              <w:rPr>
                <w:rFonts w:ascii="宋体" w:hAnsi="宋体" w:cs="宋体"/>
                <w:kern w:val="0"/>
                <w:sz w:val="24"/>
                <w:highlight w:val="none"/>
                <w:lang w:val="zh-CN"/>
              </w:rPr>
            </w:pPr>
          </w:p>
          <w:p w14:paraId="343ED83C">
            <w:pPr>
              <w:widowControl/>
              <w:adjustRightInd w:val="0"/>
              <w:jc w:val="left"/>
              <w:rPr>
                <w:rFonts w:ascii="宋体" w:hAnsi="宋体" w:cs="宋体"/>
                <w:kern w:val="0"/>
                <w:sz w:val="24"/>
                <w:highlight w:val="none"/>
                <w:lang w:val="zh-CN"/>
              </w:rPr>
            </w:pPr>
          </w:p>
          <w:p w14:paraId="2829DE70">
            <w:pPr>
              <w:widowControl/>
              <w:adjustRightInd w:val="0"/>
              <w:jc w:val="left"/>
              <w:rPr>
                <w:rFonts w:ascii="宋体" w:hAnsi="宋体" w:cs="宋体"/>
                <w:kern w:val="0"/>
                <w:sz w:val="24"/>
                <w:highlight w:val="none"/>
                <w:lang w:val="zh-CN"/>
              </w:rPr>
            </w:pPr>
          </w:p>
        </w:tc>
        <w:tc>
          <w:tcPr>
            <w:tcW w:w="4643" w:type="dxa"/>
          </w:tcPr>
          <w:p w14:paraId="2931FD9E">
            <w:pPr>
              <w:widowControl/>
              <w:adjustRightInd w:val="0"/>
              <w:jc w:val="left"/>
              <w:rPr>
                <w:rFonts w:ascii="宋体" w:cs="宋体"/>
                <w:kern w:val="0"/>
                <w:sz w:val="24"/>
                <w:highlight w:val="none"/>
              </w:rPr>
            </w:pPr>
            <w:r>
              <w:rPr>
                <w:rFonts w:hint="eastAsia" w:ascii="宋体" w:hAnsi="宋体" w:cs="宋体"/>
                <w:kern w:val="0"/>
                <w:sz w:val="24"/>
                <w:highlight w:val="none"/>
                <w:lang w:val="zh-CN"/>
              </w:rPr>
              <w:t>代表人签字</w:t>
            </w:r>
            <w:r>
              <w:rPr>
                <w:rFonts w:hint="eastAsia" w:ascii="宋体" w:hAnsi="宋体" w:cs="宋体"/>
                <w:kern w:val="0"/>
                <w:sz w:val="24"/>
                <w:highlight w:val="none"/>
              </w:rPr>
              <w:t>：</w:t>
            </w:r>
          </w:p>
        </w:tc>
      </w:tr>
      <w:tr w14:paraId="5EE9DA46">
        <w:tblPrEx>
          <w:tblCellMar>
            <w:top w:w="0" w:type="dxa"/>
            <w:left w:w="0" w:type="dxa"/>
            <w:bottom w:w="0" w:type="dxa"/>
            <w:right w:w="0" w:type="dxa"/>
          </w:tblCellMar>
        </w:tblPrEx>
        <w:trPr>
          <w:jc w:val="center"/>
        </w:trPr>
        <w:tc>
          <w:tcPr>
            <w:tcW w:w="4677" w:type="dxa"/>
          </w:tcPr>
          <w:p w14:paraId="06CA2405">
            <w:pPr>
              <w:widowControl/>
              <w:adjustRightInd w:val="0"/>
              <w:jc w:val="left"/>
              <w:rPr>
                <w:rFonts w:ascii="宋体" w:cs="宋体"/>
                <w:kern w:val="0"/>
                <w:sz w:val="24"/>
                <w:highlight w:val="none"/>
              </w:rPr>
            </w:pPr>
            <w:bookmarkStart w:id="44" w:name="OLE_LINK47"/>
            <w:r>
              <w:rPr>
                <w:rFonts w:hint="eastAsia" w:ascii="宋体" w:hAnsi="宋体" w:cs="宋体"/>
                <w:kern w:val="0"/>
                <w:sz w:val="24"/>
                <w:highlight w:val="none"/>
                <w:lang w:val="zh-CN"/>
              </w:rPr>
              <w:t>电话：</w:t>
            </w:r>
            <w:bookmarkEnd w:id="44"/>
          </w:p>
        </w:tc>
        <w:tc>
          <w:tcPr>
            <w:tcW w:w="4643" w:type="dxa"/>
          </w:tcPr>
          <w:p w14:paraId="14A698E3">
            <w:pPr>
              <w:widowControl/>
              <w:adjustRightInd w:val="0"/>
              <w:jc w:val="left"/>
              <w:rPr>
                <w:rFonts w:ascii="宋体" w:cs="宋体"/>
                <w:kern w:val="0"/>
                <w:sz w:val="24"/>
                <w:highlight w:val="none"/>
              </w:rPr>
            </w:pPr>
            <w:r>
              <w:rPr>
                <w:rFonts w:hint="eastAsia" w:ascii="宋体" w:hAnsi="宋体" w:cs="宋体"/>
                <w:kern w:val="0"/>
                <w:sz w:val="24"/>
                <w:highlight w:val="none"/>
                <w:lang w:val="zh-CN"/>
              </w:rPr>
              <w:t>电话：</w:t>
            </w:r>
          </w:p>
        </w:tc>
      </w:tr>
      <w:tr w14:paraId="2B33737B">
        <w:tblPrEx>
          <w:tblCellMar>
            <w:top w:w="0" w:type="dxa"/>
            <w:left w:w="0" w:type="dxa"/>
            <w:bottom w:w="0" w:type="dxa"/>
            <w:right w:w="0" w:type="dxa"/>
          </w:tblCellMar>
        </w:tblPrEx>
        <w:trPr>
          <w:jc w:val="center"/>
        </w:trPr>
        <w:tc>
          <w:tcPr>
            <w:tcW w:w="4677" w:type="dxa"/>
          </w:tcPr>
          <w:p w14:paraId="346F7D3C">
            <w:pPr>
              <w:widowControl/>
              <w:adjustRightInd w:val="0"/>
              <w:jc w:val="left"/>
              <w:rPr>
                <w:rFonts w:ascii="宋体" w:cs="宋体"/>
                <w:kern w:val="0"/>
                <w:sz w:val="24"/>
                <w:highlight w:val="none"/>
              </w:rPr>
            </w:pPr>
            <w:bookmarkStart w:id="45" w:name="OLE_LINK50"/>
            <w:r>
              <w:rPr>
                <w:rFonts w:hint="eastAsia" w:ascii="宋体" w:hAnsi="宋体" w:cs="宋体"/>
                <w:kern w:val="0"/>
                <w:sz w:val="24"/>
                <w:highlight w:val="none"/>
                <w:lang w:val="zh-CN"/>
              </w:rPr>
              <w:t>开户银行：</w:t>
            </w:r>
            <w:bookmarkEnd w:id="45"/>
          </w:p>
        </w:tc>
        <w:tc>
          <w:tcPr>
            <w:tcW w:w="4643" w:type="dxa"/>
          </w:tcPr>
          <w:p w14:paraId="66324367">
            <w:pPr>
              <w:widowControl/>
              <w:adjustRightInd w:val="0"/>
              <w:jc w:val="left"/>
              <w:rPr>
                <w:rFonts w:ascii="宋体" w:cs="宋体"/>
                <w:kern w:val="0"/>
                <w:sz w:val="24"/>
                <w:highlight w:val="none"/>
              </w:rPr>
            </w:pPr>
            <w:r>
              <w:rPr>
                <w:rFonts w:hint="eastAsia" w:ascii="宋体" w:hAnsi="宋体" w:cs="宋体"/>
                <w:kern w:val="0"/>
                <w:sz w:val="24"/>
                <w:highlight w:val="none"/>
                <w:lang w:val="zh-CN"/>
              </w:rPr>
              <w:t>开户银行：</w:t>
            </w:r>
          </w:p>
        </w:tc>
      </w:tr>
      <w:tr w14:paraId="0842210E">
        <w:tblPrEx>
          <w:tblCellMar>
            <w:top w:w="0" w:type="dxa"/>
            <w:left w:w="0" w:type="dxa"/>
            <w:bottom w:w="0" w:type="dxa"/>
            <w:right w:w="0" w:type="dxa"/>
          </w:tblCellMar>
        </w:tblPrEx>
        <w:trPr>
          <w:jc w:val="center"/>
        </w:trPr>
        <w:tc>
          <w:tcPr>
            <w:tcW w:w="4677" w:type="dxa"/>
          </w:tcPr>
          <w:p w14:paraId="6AF1872F">
            <w:pPr>
              <w:widowControl/>
              <w:adjustRightInd w:val="0"/>
              <w:jc w:val="left"/>
              <w:rPr>
                <w:rFonts w:ascii="宋体" w:cs="宋体"/>
                <w:kern w:val="0"/>
                <w:sz w:val="24"/>
                <w:highlight w:val="none"/>
              </w:rPr>
            </w:pPr>
            <w:bookmarkStart w:id="46" w:name="OLE_LINK52"/>
            <w:r>
              <w:rPr>
                <w:rFonts w:hint="eastAsia" w:ascii="宋体" w:hAnsi="宋体" w:cs="宋体"/>
                <w:kern w:val="0"/>
                <w:sz w:val="24"/>
                <w:highlight w:val="none"/>
                <w:lang w:val="zh-CN"/>
              </w:rPr>
              <w:t>账号：</w:t>
            </w:r>
            <w:bookmarkEnd w:id="46"/>
          </w:p>
        </w:tc>
        <w:tc>
          <w:tcPr>
            <w:tcW w:w="4643" w:type="dxa"/>
          </w:tcPr>
          <w:p w14:paraId="28B75293">
            <w:pPr>
              <w:widowControl/>
              <w:adjustRightInd w:val="0"/>
              <w:jc w:val="left"/>
              <w:rPr>
                <w:rFonts w:ascii="宋体" w:hAnsi="宋体" w:cs="宋体"/>
                <w:kern w:val="0"/>
                <w:sz w:val="24"/>
                <w:highlight w:val="none"/>
                <w:lang w:val="zh-CN"/>
              </w:rPr>
            </w:pPr>
            <w:r>
              <w:rPr>
                <w:rFonts w:hint="eastAsia" w:ascii="宋体" w:hAnsi="宋体" w:cs="宋体"/>
                <w:kern w:val="0"/>
                <w:sz w:val="24"/>
                <w:highlight w:val="none"/>
                <w:lang w:val="zh-CN"/>
              </w:rPr>
              <w:t>账号：</w:t>
            </w:r>
          </w:p>
          <w:p w14:paraId="0DD8904A">
            <w:pPr>
              <w:widowControl/>
              <w:adjustRightInd w:val="0"/>
              <w:jc w:val="left"/>
              <w:rPr>
                <w:rFonts w:ascii="宋体" w:hAnsi="宋体" w:cs="宋体"/>
                <w:kern w:val="0"/>
                <w:sz w:val="24"/>
                <w:highlight w:val="none"/>
                <w:lang w:val="zh-CN"/>
              </w:rPr>
            </w:pPr>
          </w:p>
        </w:tc>
      </w:tr>
      <w:tr w14:paraId="656C566C">
        <w:tblPrEx>
          <w:tblCellMar>
            <w:top w:w="0" w:type="dxa"/>
            <w:left w:w="0" w:type="dxa"/>
            <w:bottom w:w="0" w:type="dxa"/>
            <w:right w:w="0" w:type="dxa"/>
          </w:tblCellMar>
        </w:tblPrEx>
        <w:trPr>
          <w:jc w:val="center"/>
        </w:trPr>
        <w:tc>
          <w:tcPr>
            <w:tcW w:w="4677" w:type="dxa"/>
          </w:tcPr>
          <w:p w14:paraId="08801E73">
            <w:pPr>
              <w:widowControl/>
              <w:adjustRightInd w:val="0"/>
              <w:jc w:val="left"/>
              <w:rPr>
                <w:rFonts w:ascii="宋体" w:cs="宋体"/>
                <w:kern w:val="0"/>
                <w:sz w:val="24"/>
                <w:highlight w:val="none"/>
                <w:lang w:val="zh-CN"/>
              </w:rPr>
            </w:pPr>
            <w:r>
              <w:rPr>
                <w:rFonts w:hint="eastAsia" w:ascii="宋体" w:cs="宋体"/>
                <w:kern w:val="0"/>
                <w:sz w:val="24"/>
                <w:highlight w:val="none"/>
                <w:lang w:val="zh-CN"/>
              </w:rPr>
              <w:t>住所：</w:t>
            </w:r>
          </w:p>
        </w:tc>
        <w:tc>
          <w:tcPr>
            <w:tcW w:w="4643" w:type="dxa"/>
          </w:tcPr>
          <w:p w14:paraId="47569E4C">
            <w:pPr>
              <w:widowControl/>
              <w:adjustRightInd w:val="0"/>
              <w:jc w:val="left"/>
              <w:rPr>
                <w:rFonts w:ascii="宋体" w:cs="宋体"/>
                <w:kern w:val="0"/>
                <w:sz w:val="24"/>
                <w:highlight w:val="none"/>
                <w:lang w:val="zh-CN"/>
              </w:rPr>
            </w:pPr>
            <w:r>
              <w:rPr>
                <w:rFonts w:hint="eastAsia" w:ascii="宋体" w:cs="宋体"/>
                <w:kern w:val="0"/>
                <w:sz w:val="24"/>
                <w:highlight w:val="none"/>
                <w:lang w:val="zh-CN"/>
              </w:rPr>
              <w:t>住所：</w:t>
            </w:r>
          </w:p>
        </w:tc>
      </w:tr>
      <w:tr w14:paraId="129BE8F9">
        <w:tblPrEx>
          <w:tblCellMar>
            <w:top w:w="0" w:type="dxa"/>
            <w:left w:w="0" w:type="dxa"/>
            <w:bottom w:w="0" w:type="dxa"/>
            <w:right w:w="0" w:type="dxa"/>
          </w:tblCellMar>
        </w:tblPrEx>
        <w:trPr>
          <w:jc w:val="center"/>
        </w:trPr>
        <w:tc>
          <w:tcPr>
            <w:tcW w:w="4677" w:type="dxa"/>
          </w:tcPr>
          <w:p w14:paraId="6579E57B">
            <w:pPr>
              <w:widowControl/>
              <w:adjustRightInd w:val="0"/>
              <w:jc w:val="left"/>
              <w:rPr>
                <w:rFonts w:ascii="宋体" w:hAnsi="宋体" w:cs="宋体"/>
                <w:kern w:val="0"/>
                <w:sz w:val="24"/>
                <w:highlight w:val="none"/>
                <w:lang w:val="zh-CN"/>
              </w:rPr>
            </w:pPr>
            <w:r>
              <w:rPr>
                <w:rFonts w:hint="eastAsia" w:ascii="宋体" w:cs="宋体"/>
                <w:kern w:val="0"/>
                <w:sz w:val="24"/>
                <w:highlight w:val="none"/>
                <w:lang w:val="zh-CN"/>
              </w:rPr>
              <w:t>日    期：     年    月    日</w:t>
            </w:r>
          </w:p>
        </w:tc>
        <w:tc>
          <w:tcPr>
            <w:tcW w:w="4643" w:type="dxa"/>
          </w:tcPr>
          <w:p w14:paraId="4B17070B">
            <w:pPr>
              <w:widowControl/>
              <w:adjustRightInd w:val="0"/>
              <w:jc w:val="left"/>
              <w:rPr>
                <w:rFonts w:ascii="宋体" w:hAnsi="宋体" w:cs="宋体"/>
                <w:kern w:val="0"/>
                <w:sz w:val="24"/>
                <w:highlight w:val="none"/>
                <w:lang w:val="zh-CN"/>
              </w:rPr>
            </w:pPr>
            <w:r>
              <w:rPr>
                <w:rFonts w:hint="eastAsia" w:ascii="宋体" w:cs="宋体"/>
                <w:kern w:val="0"/>
                <w:sz w:val="24"/>
                <w:highlight w:val="none"/>
                <w:lang w:val="zh-CN"/>
              </w:rPr>
              <w:t>日    期：     年    月    日</w:t>
            </w:r>
          </w:p>
        </w:tc>
      </w:tr>
    </w:tbl>
    <w:p w14:paraId="5EDE32E2">
      <w:pPr>
        <w:spacing w:line="360" w:lineRule="auto"/>
        <w:jc w:val="center"/>
        <w:outlineLvl w:val="0"/>
        <w:rPr>
          <w:rFonts w:ascii="黑体" w:hAnsi="黑体" w:eastAsia="黑体"/>
          <w:sz w:val="28"/>
          <w:highlight w:val="none"/>
        </w:rPr>
      </w:pPr>
      <w:r>
        <w:rPr>
          <w:rFonts w:ascii="楷体_GB2312" w:eastAsia="楷体_GB2312"/>
          <w:b/>
          <w:sz w:val="32"/>
          <w:szCs w:val="32"/>
          <w:highlight w:val="none"/>
        </w:rPr>
        <w:br w:type="page"/>
      </w:r>
      <w:bookmarkEnd w:id="41"/>
      <w:bookmarkEnd w:id="43"/>
      <w:bookmarkStart w:id="47" w:name="_Toc64637568"/>
      <w:r>
        <w:rPr>
          <w:rFonts w:hint="eastAsia" w:ascii="黑体" w:hAnsi="黑体" w:eastAsia="黑体"/>
          <w:sz w:val="28"/>
          <w:highlight w:val="none"/>
        </w:rPr>
        <w:t>第六章 合同条款</w:t>
      </w:r>
      <w:bookmarkEnd w:id="47"/>
    </w:p>
    <w:p w14:paraId="0F464E45">
      <w:pPr>
        <w:spacing w:line="360" w:lineRule="auto"/>
        <w:ind w:firstLine="480" w:firstLineChars="200"/>
        <w:rPr>
          <w:rFonts w:ascii="宋体" w:hAnsi="宋体"/>
          <w:bCs/>
          <w:sz w:val="24"/>
          <w:highlight w:val="none"/>
        </w:rPr>
      </w:pPr>
      <w:r>
        <w:rPr>
          <w:rFonts w:hint="eastAsia" w:ascii="宋体" w:hAnsi="宋体"/>
          <w:bCs/>
          <w:sz w:val="24"/>
          <w:highlight w:val="none"/>
        </w:rPr>
        <w:t>根据采购项目编号：</w:t>
      </w:r>
      <w:r>
        <w:rPr>
          <w:rFonts w:hint="eastAsia" w:ascii="宋体" w:hAnsi="宋体"/>
          <w:bCs/>
          <w:sz w:val="24"/>
          <w:highlight w:val="none"/>
          <w:lang w:eastAsia="zh-CN"/>
        </w:rPr>
        <w:t>YXGQ2025333</w:t>
      </w:r>
      <w:r>
        <w:rPr>
          <w:rFonts w:hint="eastAsia" w:ascii="宋体" w:hAnsi="宋体"/>
          <w:bCs/>
          <w:sz w:val="24"/>
          <w:highlight w:val="none"/>
        </w:rPr>
        <w:t>招标文件和该项目的中标通知书及乙方投标文件，供需双方就此次中标的设备和相关问题，同意按下列条款规定执行。</w:t>
      </w:r>
    </w:p>
    <w:bookmarkEnd w:id="40"/>
    <w:p w14:paraId="7A9E8EB7">
      <w:pPr>
        <w:spacing w:line="360" w:lineRule="auto"/>
        <w:ind w:firstLine="480" w:firstLineChars="200"/>
        <w:rPr>
          <w:rFonts w:ascii="宋体" w:hAnsi="宋体"/>
          <w:bCs/>
          <w:sz w:val="24"/>
          <w:highlight w:val="none"/>
        </w:rPr>
      </w:pPr>
      <w:r>
        <w:rPr>
          <w:rFonts w:hint="eastAsia" w:ascii="宋体" w:hAnsi="宋体"/>
          <w:bCs/>
          <w:sz w:val="24"/>
          <w:highlight w:val="none"/>
        </w:rPr>
        <w:t>一、合同内容：甲方向乙方购买</w:t>
      </w:r>
      <w:r>
        <w:rPr>
          <w:rFonts w:hint="eastAsia" w:ascii="宋体" w:hAnsi="宋体"/>
          <w:bCs/>
          <w:sz w:val="24"/>
          <w:highlight w:val="none"/>
          <w:u w:val="single"/>
        </w:rPr>
        <w:t xml:space="preserve"> </w:t>
      </w:r>
      <w:r>
        <w:rPr>
          <w:rFonts w:ascii="宋体" w:hAnsi="宋体"/>
          <w:bCs/>
          <w:sz w:val="24"/>
          <w:highlight w:val="none"/>
          <w:u w:val="single"/>
        </w:rPr>
        <w:t xml:space="preserve">         </w:t>
      </w:r>
      <w:r>
        <w:rPr>
          <w:rFonts w:hint="eastAsia" w:ascii="宋体" w:hAnsi="宋体"/>
          <w:bCs/>
          <w:sz w:val="24"/>
          <w:highlight w:val="none"/>
        </w:rPr>
        <w:t>。</w:t>
      </w:r>
    </w:p>
    <w:p w14:paraId="7CDD500A">
      <w:pPr>
        <w:pStyle w:val="14"/>
        <w:spacing w:line="360" w:lineRule="auto"/>
        <w:ind w:left="480" w:hanging="480" w:hangingChars="200"/>
        <w:rPr>
          <w:rFonts w:ascii="宋体" w:hAnsi="宋体"/>
          <w:bCs/>
          <w:sz w:val="24"/>
          <w:highlight w:val="none"/>
        </w:rPr>
      </w:pPr>
      <w:r>
        <w:rPr>
          <w:rFonts w:hint="eastAsia" w:ascii="宋体" w:hAnsi="宋体"/>
          <w:bCs/>
          <w:sz w:val="24"/>
          <w:highlight w:val="none"/>
        </w:rPr>
        <w:t>二、价格及支付</w:t>
      </w:r>
    </w:p>
    <w:p w14:paraId="6D9973F3">
      <w:pPr>
        <w:pStyle w:val="14"/>
        <w:spacing w:line="360" w:lineRule="auto"/>
        <w:ind w:firstLine="420" w:firstLineChars="200"/>
        <w:rPr>
          <w:highlight w:val="none"/>
        </w:rPr>
      </w:pPr>
      <w:r>
        <w:rPr>
          <w:rFonts w:hint="eastAsia"/>
          <w:highlight w:val="none"/>
        </w:rPr>
        <w:t>1、</w:t>
      </w:r>
      <w:r>
        <w:rPr>
          <w:rFonts w:hint="eastAsia" w:ascii="宋体" w:hAnsi="宋体"/>
          <w:sz w:val="24"/>
          <w:szCs w:val="24"/>
          <w:highlight w:val="none"/>
        </w:rPr>
        <w:t>按</w:t>
      </w:r>
      <w:r>
        <w:rPr>
          <w:rFonts w:hint="eastAsia" w:ascii="宋体" w:hAnsi="宋体"/>
          <w:color w:val="000000"/>
          <w:sz w:val="24"/>
          <w:szCs w:val="22"/>
          <w:highlight w:val="none"/>
          <w:lang w:val="zh-CN"/>
        </w:rPr>
        <w:t>此次中标价格执行，合同总标的额为人民币 (大写):     (小写￥   元)，以上为含税价。不含税总价为人民币（大写）：       （小写￥    元）</w:t>
      </w:r>
      <w:r>
        <w:rPr>
          <w:rFonts w:hint="eastAsia" w:ascii="宋体" w:hAnsi="宋体"/>
          <w:color w:val="0000FF"/>
          <w:sz w:val="24"/>
          <w:szCs w:val="24"/>
          <w:highlight w:val="none"/>
        </w:rPr>
        <w:t>，</w:t>
      </w:r>
      <w:r>
        <w:rPr>
          <w:rFonts w:hint="eastAsia" w:ascii="宋体" w:hAnsi="宋体"/>
          <w:color w:val="000000"/>
          <w:sz w:val="24"/>
          <w:szCs w:val="22"/>
          <w:highlight w:val="none"/>
          <w:lang w:val="zh-CN"/>
        </w:rPr>
        <w:t>税金为人民币（大写）：        （小写￥     元），增值税税率为    %。</w:t>
      </w:r>
    </w:p>
    <w:p w14:paraId="7F65F975">
      <w:pPr>
        <w:pStyle w:val="14"/>
        <w:spacing w:line="360" w:lineRule="auto"/>
        <w:ind w:firstLine="420" w:firstLineChars="200"/>
        <w:rPr>
          <w:highlight w:val="none"/>
        </w:rPr>
      </w:pPr>
      <w:r>
        <w:rPr>
          <w:rFonts w:hint="eastAsia"/>
          <w:highlight w:val="none"/>
        </w:rPr>
        <w:t>2、</w:t>
      </w:r>
      <w:r>
        <w:rPr>
          <w:rFonts w:hint="eastAsia" w:ascii="宋体" w:hAnsi="宋体"/>
          <w:bCs/>
          <w:sz w:val="24"/>
          <w:highlight w:val="none"/>
        </w:rPr>
        <w:t>本合同为固定总价合同，投标报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14:paraId="3F7BF8FE">
      <w:pPr>
        <w:spacing w:line="360" w:lineRule="auto"/>
        <w:ind w:firstLine="480" w:firstLineChars="200"/>
        <w:rPr>
          <w:rFonts w:ascii="宋体" w:hAnsi="宋体"/>
          <w:bCs/>
          <w:sz w:val="24"/>
          <w:highlight w:val="none"/>
          <w:u w:val="single"/>
        </w:rPr>
      </w:pPr>
      <w:r>
        <w:rPr>
          <w:rFonts w:hint="eastAsia" w:ascii="宋体" w:hAnsi="宋体"/>
          <w:bCs/>
          <w:sz w:val="24"/>
          <w:highlight w:val="none"/>
        </w:rPr>
        <w:t>3、付款步骤：</w:t>
      </w:r>
    </w:p>
    <w:p w14:paraId="0F275DF8">
      <w:pPr>
        <w:spacing w:line="360" w:lineRule="auto"/>
        <w:ind w:firstLine="480" w:firstLineChars="200"/>
        <w:rPr>
          <w:rFonts w:ascii="宋体" w:hAnsi="宋体"/>
          <w:bCs/>
          <w:color w:val="0000FF"/>
          <w:sz w:val="24"/>
          <w:highlight w:val="none"/>
          <w:u w:val="single"/>
        </w:rPr>
      </w:pPr>
      <w:r>
        <w:rPr>
          <w:rFonts w:hint="eastAsia" w:ascii="宋体" w:hAnsi="宋体"/>
          <w:bCs/>
          <w:color w:val="0000FF"/>
          <w:sz w:val="24"/>
          <w:highlight w:val="none"/>
          <w:u w:val="single"/>
        </w:rPr>
        <w:t>（1）</w:t>
      </w:r>
      <w:r>
        <w:rPr>
          <w:rFonts w:ascii="宋体" w:hAnsi="宋体"/>
          <w:bCs/>
          <w:color w:val="0000FF"/>
          <w:sz w:val="24"/>
          <w:highlight w:val="none"/>
          <w:u w:val="single"/>
        </w:rPr>
        <w:t>设备送抵甲方指定的施工现场或设备仓库，并经</w:t>
      </w:r>
      <w:r>
        <w:rPr>
          <w:rFonts w:hint="eastAsia" w:ascii="宋体" w:hAnsi="宋体"/>
          <w:bCs/>
          <w:color w:val="0000FF"/>
          <w:sz w:val="24"/>
          <w:highlight w:val="none"/>
          <w:u w:val="single"/>
        </w:rPr>
        <w:t>甲乙</w:t>
      </w:r>
      <w:r>
        <w:rPr>
          <w:rFonts w:ascii="宋体" w:hAnsi="宋体"/>
          <w:bCs/>
          <w:color w:val="0000FF"/>
          <w:sz w:val="24"/>
          <w:highlight w:val="none"/>
          <w:u w:val="single"/>
        </w:rPr>
        <w:t>双方检查合格后签署到货验收单，</w:t>
      </w:r>
      <w:r>
        <w:rPr>
          <w:rFonts w:hint="eastAsia" w:ascii="宋体" w:hAnsi="宋体"/>
          <w:bCs/>
          <w:color w:val="0000FF"/>
          <w:sz w:val="24"/>
          <w:highlight w:val="none"/>
          <w:u w:val="single"/>
        </w:rPr>
        <w:t>乙方</w:t>
      </w:r>
      <w:r>
        <w:rPr>
          <w:rFonts w:ascii="宋体" w:hAnsi="宋体"/>
          <w:bCs/>
          <w:color w:val="0000FF"/>
          <w:sz w:val="24"/>
          <w:highlight w:val="none"/>
          <w:u w:val="single"/>
        </w:rPr>
        <w:t>须于当月25日前开具所供货物的全额</w:t>
      </w:r>
      <w:r>
        <w:rPr>
          <w:rFonts w:hint="eastAsia" w:ascii="宋体" w:hAnsi="宋体"/>
          <w:bCs/>
          <w:color w:val="0000FF"/>
          <w:sz w:val="24"/>
          <w:highlight w:val="none"/>
          <w:u w:val="single"/>
        </w:rPr>
        <w:t>增值税专用</w:t>
      </w:r>
      <w:r>
        <w:rPr>
          <w:rFonts w:ascii="宋体" w:hAnsi="宋体"/>
          <w:bCs/>
          <w:color w:val="0000FF"/>
          <w:sz w:val="24"/>
          <w:highlight w:val="none"/>
          <w:u w:val="single"/>
        </w:rPr>
        <w:t>发票，甲方在30天内支付</w:t>
      </w:r>
      <w:r>
        <w:rPr>
          <w:rFonts w:hint="eastAsia" w:ascii="宋体" w:hAnsi="宋体"/>
          <w:bCs/>
          <w:color w:val="0000FF"/>
          <w:sz w:val="24"/>
          <w:highlight w:val="none"/>
          <w:u w:val="single"/>
        </w:rPr>
        <w:t>专用</w:t>
      </w:r>
      <w:r>
        <w:rPr>
          <w:rFonts w:ascii="宋体" w:hAnsi="宋体"/>
          <w:bCs/>
          <w:color w:val="0000FF"/>
          <w:sz w:val="24"/>
          <w:highlight w:val="none"/>
          <w:u w:val="single"/>
        </w:rPr>
        <w:t>发票金额的60%货款；（2）设备正常运行验收合格，并完成所供货物的结算审计后30天内支付所供货物</w:t>
      </w:r>
      <w:r>
        <w:rPr>
          <w:rFonts w:hint="eastAsia" w:ascii="宋体" w:hAnsi="宋体"/>
          <w:bCs/>
          <w:color w:val="0000FF"/>
          <w:sz w:val="24"/>
          <w:highlight w:val="none"/>
          <w:u w:val="single"/>
        </w:rPr>
        <w:t>专用</w:t>
      </w:r>
      <w:r>
        <w:rPr>
          <w:rFonts w:ascii="宋体" w:hAnsi="宋体"/>
          <w:bCs/>
          <w:color w:val="0000FF"/>
          <w:sz w:val="24"/>
          <w:highlight w:val="none"/>
          <w:u w:val="single"/>
        </w:rPr>
        <w:t>发票金额的30%；（3）质保期</w:t>
      </w:r>
      <w:r>
        <w:rPr>
          <w:rFonts w:hint="eastAsia" w:ascii="宋体" w:hAnsi="宋体"/>
          <w:bCs/>
          <w:color w:val="0000FF"/>
          <w:sz w:val="24"/>
          <w:highlight w:val="none"/>
          <w:u w:val="single"/>
        </w:rPr>
        <w:t>（以乙方在投标文件中承诺的质保期为准）</w:t>
      </w:r>
      <w:r>
        <w:rPr>
          <w:rFonts w:ascii="宋体" w:hAnsi="宋体"/>
          <w:bCs/>
          <w:color w:val="0000FF"/>
          <w:sz w:val="24"/>
          <w:highlight w:val="none"/>
          <w:u w:val="single"/>
        </w:rPr>
        <w:t>满后，</w:t>
      </w:r>
      <w:r>
        <w:rPr>
          <w:rFonts w:hint="eastAsia" w:ascii="宋体" w:hAnsi="宋体"/>
          <w:bCs/>
          <w:color w:val="0000FF"/>
          <w:sz w:val="24"/>
          <w:highlight w:val="none"/>
          <w:u w:val="single"/>
        </w:rPr>
        <w:t>提供符合标书要求的售后服务巡检记录</w:t>
      </w:r>
      <w:r>
        <w:rPr>
          <w:rFonts w:ascii="宋体" w:hAnsi="宋体"/>
          <w:bCs/>
          <w:color w:val="0000FF"/>
          <w:sz w:val="24"/>
          <w:highlight w:val="none"/>
          <w:u w:val="single"/>
        </w:rPr>
        <w:t>后30天内支付所供货物</w:t>
      </w:r>
      <w:r>
        <w:rPr>
          <w:rFonts w:hint="eastAsia" w:ascii="宋体" w:hAnsi="宋体"/>
          <w:bCs/>
          <w:color w:val="0000FF"/>
          <w:sz w:val="24"/>
          <w:highlight w:val="none"/>
          <w:u w:val="single"/>
        </w:rPr>
        <w:t>专用</w:t>
      </w:r>
      <w:r>
        <w:rPr>
          <w:rFonts w:ascii="宋体" w:hAnsi="宋体"/>
          <w:bCs/>
          <w:color w:val="0000FF"/>
          <w:sz w:val="24"/>
          <w:highlight w:val="none"/>
          <w:u w:val="single"/>
        </w:rPr>
        <w:t>发票金额的10%（由于财政结算等流程问题，特殊情况结算会滞后）</w:t>
      </w:r>
    </w:p>
    <w:p w14:paraId="59483080">
      <w:pPr>
        <w:spacing w:line="360" w:lineRule="auto"/>
        <w:ind w:firstLine="480" w:firstLineChars="200"/>
        <w:rPr>
          <w:rFonts w:ascii="宋体" w:hAnsi="宋体"/>
          <w:bCs/>
          <w:color w:val="000000"/>
          <w:sz w:val="24"/>
          <w:highlight w:val="none"/>
          <w:u w:val="single"/>
        </w:rPr>
      </w:pPr>
      <w:r>
        <w:rPr>
          <w:rFonts w:hint="eastAsia" w:ascii="宋体" w:hAnsi="宋体"/>
          <w:bCs/>
          <w:sz w:val="24"/>
          <w:highlight w:val="none"/>
        </w:rPr>
        <w:t xml:space="preserve"> 4、履约保证金的退还：</w:t>
      </w:r>
      <w:r>
        <w:rPr>
          <w:rFonts w:hint="eastAsia" w:ascii="宋体" w:hAnsi="宋体" w:eastAsia="宋体" w:cs="Times New Roman"/>
          <w:bCs/>
          <w:color w:val="000000"/>
          <w:sz w:val="24"/>
          <w:highlight w:val="none"/>
          <w:u w:val="single"/>
        </w:rPr>
        <w:t>履约保证金于货物安装完毕验收合格后的三十个工作日内无息退还。</w:t>
      </w:r>
      <w:r>
        <w:rPr>
          <w:rFonts w:hint="eastAsia" w:ascii="宋体" w:hAnsi="宋体" w:cs="宋体"/>
          <w:color w:val="000000"/>
          <w:sz w:val="24"/>
          <w:highlight w:val="none"/>
        </w:rPr>
        <w:t>注：若乙方缴纳履约保证金的形式为开具银行保函，需确保保函有效期覆盖合同期。若合同在执行过程中保函即将过期，乙方需提前一个月重新开具银行保函交至甲方，否则甲方将停付进度款。</w:t>
      </w:r>
    </w:p>
    <w:p w14:paraId="2A20D8D6">
      <w:pPr>
        <w:spacing w:line="360" w:lineRule="auto"/>
        <w:ind w:firstLine="480" w:firstLineChars="200"/>
        <w:rPr>
          <w:rFonts w:ascii="宋体"/>
          <w:bCs/>
          <w:sz w:val="24"/>
          <w:szCs w:val="24"/>
          <w:highlight w:val="none"/>
        </w:rPr>
      </w:pPr>
      <w:r>
        <w:rPr>
          <w:rFonts w:hint="eastAsia" w:ascii="宋体" w:hAnsi="宋体"/>
          <w:bCs/>
          <w:sz w:val="24"/>
          <w:highlight w:val="none"/>
        </w:rPr>
        <w:t xml:space="preserve"> 5、付款方式：银行转账。</w:t>
      </w:r>
    </w:p>
    <w:p w14:paraId="42F57AA6">
      <w:pPr>
        <w:spacing w:line="360" w:lineRule="auto"/>
        <w:ind w:firstLine="480" w:firstLineChars="200"/>
        <w:rPr>
          <w:rFonts w:ascii="宋体"/>
          <w:bCs/>
          <w:sz w:val="24"/>
          <w:szCs w:val="24"/>
          <w:highlight w:val="none"/>
        </w:rPr>
      </w:pPr>
      <w:r>
        <w:rPr>
          <w:rFonts w:hint="eastAsia" w:ascii="宋体" w:hAnsi="宋体"/>
          <w:bCs/>
          <w:sz w:val="24"/>
          <w:szCs w:val="24"/>
          <w:highlight w:val="none"/>
        </w:rPr>
        <w:t>三、知识</w:t>
      </w:r>
      <w:r>
        <w:rPr>
          <w:rFonts w:hint="eastAsia" w:ascii="宋体" w:hAnsi="宋体"/>
          <w:bCs/>
          <w:sz w:val="24"/>
          <w:highlight w:val="none"/>
        </w:rPr>
        <w:t>产权</w:t>
      </w:r>
    </w:p>
    <w:p w14:paraId="1D627315">
      <w:pPr>
        <w:tabs>
          <w:tab w:val="left" w:pos="945"/>
        </w:tabs>
        <w:spacing w:line="360" w:lineRule="auto"/>
        <w:ind w:firstLine="480" w:firstLineChars="200"/>
        <w:rPr>
          <w:rFonts w:ascii="宋体"/>
          <w:bCs/>
          <w:sz w:val="24"/>
          <w:szCs w:val="24"/>
          <w:highlight w:val="none"/>
        </w:rPr>
      </w:pPr>
      <w:r>
        <w:rPr>
          <w:rFonts w:hint="eastAsia" w:ascii="宋体" w:hAnsi="宋体"/>
          <w:bCs/>
          <w:sz w:val="24"/>
          <w:szCs w:val="24"/>
          <w:highlight w:val="none"/>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672CD284">
      <w:pPr>
        <w:spacing w:line="360" w:lineRule="auto"/>
        <w:ind w:firstLine="480" w:firstLineChars="200"/>
        <w:rPr>
          <w:rFonts w:ascii="宋体" w:hAnsi="宋体"/>
          <w:bCs/>
          <w:sz w:val="24"/>
          <w:highlight w:val="none"/>
        </w:rPr>
      </w:pPr>
      <w:r>
        <w:rPr>
          <w:rFonts w:hint="eastAsia" w:ascii="宋体" w:hAnsi="宋体"/>
          <w:bCs/>
          <w:sz w:val="24"/>
          <w:highlight w:val="none"/>
        </w:rPr>
        <w:t>四、质量保证：</w:t>
      </w:r>
    </w:p>
    <w:p w14:paraId="69CC7E14">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1、乙方应严格按照招标文件的有关约定安装设备。</w:t>
      </w:r>
    </w:p>
    <w:p w14:paraId="693455BC">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2、每台设备上均应有包括（型号、品牌有关标志）。</w:t>
      </w:r>
    </w:p>
    <w:p w14:paraId="3EE9DBA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3、设备质量出现问题，乙方负责包修、包退、包换，费用由乙方承担。</w:t>
      </w:r>
    </w:p>
    <w:p w14:paraId="5B34E30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4、甲方提出外观质量异议的期限为收到货物后两日内提出。</w:t>
      </w:r>
    </w:p>
    <w:p w14:paraId="6BDB9F13">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5、设备到货验收包括：数量、外观、质量、性能、随机备件、装箱单、随机资料及包装安装无破损。</w:t>
      </w:r>
    </w:p>
    <w:p w14:paraId="38733E43">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6、验收标准：由使用单位组织验收，需满足使用单位实际仓储条件下的正常运行。</w:t>
      </w:r>
    </w:p>
    <w:p w14:paraId="18B485CC">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7、本次招标的设备提供2年的免费质保，自验收合格之日起进入质保期。</w:t>
      </w:r>
    </w:p>
    <w:p w14:paraId="1F2AFFB3">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①在免费质保期内，应提供免除一切费用的售后服务。</w:t>
      </w:r>
    </w:p>
    <w:p w14:paraId="369FFFBC">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②服务时间的承诺：响应时间为2小时，修复时间为1个工作日，如不能在1个工作日内修复的则应提供备用设备。</w:t>
      </w:r>
    </w:p>
    <w:p w14:paraId="3A1E53D8">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③如设备在免费质保期内发生质量问题，乙方应在接到采购人报修电话后2小时内予以响应，否则采购人将自行采取必要的措施，由此产生风险和费用应由乙方承担。</w:t>
      </w:r>
    </w:p>
    <w:p w14:paraId="45E171F7">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④对于在免费质保期内出现故障确需更换的零配件，乙方应尽量确保采购人能更换到原厂同种规格型号的零部件，以确保其正常使用；如因生产厂家停产等客观原因，不能提供同种规格型号的零配件时，应提供同等质量、档次的配件，且不补差价。</w:t>
      </w:r>
    </w:p>
    <w:p w14:paraId="7D246C8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⑤</w:t>
      </w:r>
      <w:r>
        <w:rPr>
          <w:rFonts w:ascii="宋体" w:hAnsi="宋体" w:eastAsia="宋体" w:cs="Times New Roman"/>
          <w:bCs/>
          <w:sz w:val="24"/>
          <w:szCs w:val="24"/>
          <w:highlight w:val="none"/>
        </w:rPr>
        <w:t>在</w:t>
      </w:r>
      <w:r>
        <w:rPr>
          <w:rFonts w:hint="eastAsia" w:ascii="宋体" w:hAnsi="宋体" w:eastAsia="宋体" w:cs="Times New Roman"/>
          <w:bCs/>
          <w:sz w:val="24"/>
          <w:szCs w:val="24"/>
          <w:highlight w:val="none"/>
        </w:rPr>
        <w:t>质保</w:t>
      </w:r>
      <w:r>
        <w:rPr>
          <w:rFonts w:ascii="宋体" w:hAnsi="宋体" w:eastAsia="宋体" w:cs="Times New Roman"/>
          <w:bCs/>
          <w:sz w:val="24"/>
          <w:szCs w:val="24"/>
          <w:highlight w:val="none"/>
        </w:rPr>
        <w:t>期内因设备本身及安装的质量问题发生故障，乙方应负责免费修理和更换零部件。对达不到使用要求者，经双方协商，可按以下办法处理：</w:t>
      </w:r>
    </w:p>
    <w:p w14:paraId="3A80B8D0">
      <w:pPr>
        <w:tabs>
          <w:tab w:val="left" w:pos="945"/>
        </w:tabs>
        <w:spacing w:line="360" w:lineRule="auto"/>
        <w:ind w:firstLine="480" w:firstLineChars="200"/>
        <w:rPr>
          <w:rFonts w:ascii="宋体" w:hAnsi="宋体" w:eastAsia="宋体" w:cs="Times New Roman"/>
          <w:bCs/>
          <w:sz w:val="24"/>
          <w:szCs w:val="24"/>
          <w:highlight w:val="none"/>
        </w:rPr>
      </w:pPr>
      <w:r>
        <w:rPr>
          <w:rFonts w:ascii="宋体" w:hAnsi="宋体" w:eastAsia="宋体" w:cs="Times New Roman"/>
          <w:bCs/>
          <w:sz w:val="24"/>
          <w:szCs w:val="24"/>
          <w:highlight w:val="none"/>
        </w:rPr>
        <w:t>（1）退货处理</w:t>
      </w:r>
    </w:p>
    <w:p w14:paraId="635785D3">
      <w:pPr>
        <w:tabs>
          <w:tab w:val="left" w:pos="945"/>
        </w:tabs>
        <w:spacing w:line="360" w:lineRule="auto"/>
        <w:ind w:firstLine="480" w:firstLineChars="200"/>
        <w:rPr>
          <w:rFonts w:ascii="宋体" w:hAnsi="宋体" w:eastAsia="宋体" w:cs="Times New Roman"/>
          <w:bCs/>
          <w:sz w:val="24"/>
          <w:szCs w:val="24"/>
          <w:highlight w:val="none"/>
        </w:rPr>
      </w:pPr>
      <w:r>
        <w:rPr>
          <w:rFonts w:ascii="宋体" w:hAnsi="宋体" w:eastAsia="宋体" w:cs="Times New Roman"/>
          <w:bCs/>
          <w:sz w:val="24"/>
          <w:szCs w:val="24"/>
          <w:highlight w:val="none"/>
        </w:rPr>
        <w:t>（2）更换设备，由乙方承担</w:t>
      </w:r>
      <w:r>
        <w:rPr>
          <w:rFonts w:hint="eastAsia" w:ascii="宋体" w:hAnsi="宋体" w:eastAsia="宋体" w:cs="Times New Roman"/>
          <w:bCs/>
          <w:sz w:val="24"/>
          <w:szCs w:val="24"/>
          <w:highlight w:val="none"/>
        </w:rPr>
        <w:t>由此</w:t>
      </w:r>
      <w:r>
        <w:rPr>
          <w:rFonts w:ascii="宋体" w:hAnsi="宋体" w:eastAsia="宋体" w:cs="Times New Roman"/>
          <w:bCs/>
          <w:sz w:val="24"/>
          <w:szCs w:val="24"/>
          <w:highlight w:val="none"/>
        </w:rPr>
        <w:t>所发生的</w:t>
      </w:r>
      <w:r>
        <w:rPr>
          <w:rFonts w:hint="eastAsia" w:ascii="宋体" w:hAnsi="宋体" w:eastAsia="宋体" w:cs="Times New Roman"/>
          <w:bCs/>
          <w:sz w:val="24"/>
          <w:szCs w:val="24"/>
          <w:highlight w:val="none"/>
        </w:rPr>
        <w:t>所有</w:t>
      </w:r>
      <w:r>
        <w:rPr>
          <w:rFonts w:ascii="宋体" w:hAnsi="宋体" w:eastAsia="宋体" w:cs="Times New Roman"/>
          <w:bCs/>
          <w:sz w:val="24"/>
          <w:szCs w:val="24"/>
          <w:highlight w:val="none"/>
        </w:rPr>
        <w:t>费用。</w:t>
      </w:r>
    </w:p>
    <w:p w14:paraId="7ECFD00E">
      <w:pPr>
        <w:tabs>
          <w:tab w:val="left" w:pos="945"/>
        </w:tabs>
        <w:spacing w:line="360" w:lineRule="auto"/>
        <w:ind w:firstLine="480" w:firstLineChars="200"/>
        <w:rPr>
          <w:rFonts w:ascii="宋体" w:hAnsi="宋体" w:eastAsia="宋体" w:cs="Times New Roman"/>
          <w:bCs/>
          <w:sz w:val="24"/>
          <w:szCs w:val="24"/>
          <w:highlight w:val="none"/>
        </w:rPr>
      </w:pPr>
      <w:r>
        <w:rPr>
          <w:rFonts w:ascii="宋体" w:hAnsi="宋体" w:eastAsia="宋体" w:cs="Times New Roman"/>
          <w:bCs/>
          <w:sz w:val="24"/>
          <w:szCs w:val="24"/>
          <w:highlight w:val="none"/>
        </w:rPr>
        <w:t>（3）贬值处理</w:t>
      </w:r>
    </w:p>
    <w:p w14:paraId="39C86BD5">
      <w:pPr>
        <w:spacing w:line="360" w:lineRule="auto"/>
        <w:ind w:firstLine="480" w:firstLineChars="200"/>
        <w:rPr>
          <w:rFonts w:ascii="宋体" w:hAnsi="宋体"/>
          <w:bCs/>
          <w:sz w:val="24"/>
          <w:highlight w:val="none"/>
        </w:rPr>
      </w:pPr>
      <w:r>
        <w:rPr>
          <w:rFonts w:hint="eastAsia" w:ascii="宋体" w:hAnsi="宋体"/>
          <w:bCs/>
          <w:sz w:val="24"/>
          <w:highlight w:val="none"/>
        </w:rPr>
        <w:t>五、交货和验收</w:t>
      </w:r>
    </w:p>
    <w:p w14:paraId="6A369DA8">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1、交货日期：</w:t>
      </w:r>
      <w:r>
        <w:rPr>
          <w:rFonts w:ascii="宋体" w:hAnsi="宋体" w:eastAsia="宋体" w:cs="Times New Roman"/>
          <w:bCs/>
          <w:color w:val="0000FF"/>
          <w:sz w:val="24"/>
          <w:szCs w:val="24"/>
          <w:highlight w:val="none"/>
          <w:u w:val="single"/>
        </w:rPr>
        <w:t>乙方接到发货通知之日起分批供货，</w:t>
      </w:r>
      <w:r>
        <w:rPr>
          <w:rFonts w:hint="eastAsia" w:ascii="宋体" w:hAnsi="宋体" w:eastAsia="宋体" w:cs="Times New Roman"/>
          <w:bCs/>
          <w:color w:val="0000FF"/>
          <w:sz w:val="24"/>
          <w:szCs w:val="24"/>
          <w:highlight w:val="none"/>
          <w:u w:val="single"/>
        </w:rPr>
        <w:t>30天</w:t>
      </w:r>
      <w:r>
        <w:rPr>
          <w:rFonts w:ascii="宋体" w:hAnsi="宋体" w:eastAsia="宋体" w:cs="Times New Roman"/>
          <w:bCs/>
          <w:color w:val="0000FF"/>
          <w:sz w:val="24"/>
          <w:szCs w:val="24"/>
          <w:highlight w:val="none"/>
          <w:u w:val="single"/>
        </w:rPr>
        <w:t>内</w:t>
      </w:r>
      <w:r>
        <w:rPr>
          <w:rFonts w:hint="eastAsia" w:ascii="宋体" w:hAnsi="宋体" w:eastAsia="宋体" w:cs="Times New Roman"/>
          <w:bCs/>
          <w:color w:val="0000FF"/>
          <w:sz w:val="24"/>
          <w:szCs w:val="24"/>
          <w:highlight w:val="none"/>
          <w:u w:val="single"/>
        </w:rPr>
        <w:t>必须</w:t>
      </w:r>
      <w:r>
        <w:rPr>
          <w:rFonts w:ascii="宋体" w:hAnsi="宋体" w:eastAsia="宋体" w:cs="Times New Roman"/>
          <w:bCs/>
          <w:color w:val="0000FF"/>
          <w:sz w:val="24"/>
          <w:szCs w:val="24"/>
          <w:highlight w:val="none"/>
          <w:u w:val="single"/>
        </w:rPr>
        <w:t>把货物送达甲方指定的供货现场。</w:t>
      </w:r>
      <w:r>
        <w:rPr>
          <w:rFonts w:hint="eastAsia" w:ascii="宋体" w:hAnsi="宋体" w:eastAsia="宋体" w:cs="Times New Roman"/>
          <w:bCs/>
          <w:color w:val="0000FF"/>
          <w:sz w:val="24"/>
          <w:szCs w:val="24"/>
          <w:highlight w:val="none"/>
          <w:u w:val="single"/>
        </w:rPr>
        <w:t>到货时间以施工单位、监理及现场负责人共同签收时间为准。</w:t>
      </w:r>
    </w:p>
    <w:p w14:paraId="0E497E77">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2、交货地点：宜兴市内采购人指定地点。</w:t>
      </w:r>
    </w:p>
    <w:p w14:paraId="1A1ACB4F">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3、设备的外观、包装、运输应按国家规定或部颁标准执行。如因乙方运输不当等原因造成损坏或丢失，应由乙方负责修复或补缺。</w:t>
      </w:r>
    </w:p>
    <w:p w14:paraId="731AAF91">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4、设备交货时，必须带有产品质量检验合格证书、质保单、装箱单、产品安装使用说明书，并保持出厂原有包装。</w:t>
      </w:r>
    </w:p>
    <w:p w14:paraId="32E4A841">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5、运输及到货地点：由乙方负责办理运输，并承担费用直接送到甲方指定地点。</w:t>
      </w:r>
    </w:p>
    <w:p w14:paraId="55B0EFC8">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6、乙方发货时应先用函、电通告宜兴市公用投资管理有限公司。</w:t>
      </w:r>
    </w:p>
    <w:p w14:paraId="208BE62D">
      <w:pPr>
        <w:spacing w:line="360" w:lineRule="auto"/>
        <w:ind w:firstLine="480" w:firstLineChars="200"/>
        <w:rPr>
          <w:rFonts w:ascii="宋体" w:hAnsi="宋体"/>
          <w:bCs/>
          <w:color w:val="000000"/>
          <w:sz w:val="24"/>
          <w:szCs w:val="24"/>
          <w:highlight w:val="none"/>
        </w:rPr>
      </w:pPr>
      <w:r>
        <w:rPr>
          <w:rFonts w:hint="eastAsia" w:ascii="宋体" w:hAnsi="宋体"/>
          <w:bCs/>
          <w:color w:val="000000"/>
          <w:sz w:val="24"/>
          <w:szCs w:val="24"/>
          <w:highlight w:val="none"/>
        </w:rPr>
        <w:t>六、安装调试及售后服务：</w:t>
      </w:r>
    </w:p>
    <w:p w14:paraId="004FDF06">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1、乙方负责本次设备和系统的安装和调试。在规定保修期内，提供7*24小时售后服务，接到报修电话后2小时内响应并到达现场，按实际情况及时解决问题，提供24小时远程故障排除。</w:t>
      </w:r>
    </w:p>
    <w:p w14:paraId="54806947">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免费质保期满后只收取必要费用。在质保期内，每月巡检所有设备并反馈使用方，由使用方签字存档，如未履行，则扣除300元/次（仅对作巡检承诺的投标人产生效力），甲方如邀请乙方提供非质量问题的其他技术服务，其费用另定。</w:t>
      </w:r>
    </w:p>
    <w:p w14:paraId="7015AF7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3、安装及调试，请各投标人提供质量保证及安装调试的方案（包括但不仅限于以下内容）</w:t>
      </w:r>
    </w:p>
    <w:p w14:paraId="3662894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(1)在设备安装之前，乙方应对设备安装处的土建基础进行检查。由于乙方变动安装条件而引起的费用由乙方承担。乙方应派有实践经验的工程技术人员队设备进行安装。</w:t>
      </w:r>
    </w:p>
    <w:p w14:paraId="4FA7C8FE">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(2)在安装开始前，乙方应与采购人一起在现场开箱检查已交货的设备，一旦发现任何缺陷，乙方应立即修理、补充和更换。</w:t>
      </w:r>
    </w:p>
    <w:p w14:paraId="7021A9F1">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(3)在调试期间乙方应在现场负责安装、测试和调试，以检测其设计、制造、运行效果等。并提供所有测试和调试所需的工具、材料、仪器，一切费用由乙方负责。所用仪器、仪表应经检定合格并在有效期内。</w:t>
      </w:r>
    </w:p>
    <w:p w14:paraId="791D3494">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(4) 乙方需根据工程实际进度，及时提交测试和调试方法及记录表格给采购人认可后方可执行。部分或全部测试可根据实际情况在安装期内或后进行。具体乙方应与采购人确定。</w:t>
      </w:r>
    </w:p>
    <w:p w14:paraId="33E12E06">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 xml:space="preserve"> 4、试运行和交付使用</w:t>
      </w:r>
    </w:p>
    <w:p w14:paraId="7B27BBA2">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工程的竣工试运行是验证合同中所有设备、系统是否安全、有效地按标书要求运行，乙方及各设备制造商有责任到现场对调试进行指导与配合。采购人在整个合同工程施工完毕，通过检测与试验证明全部满足合同要求，并且提交的图纸与资料也全部满足要求的情况下才可最终接收。</w:t>
      </w:r>
    </w:p>
    <w:p w14:paraId="155909F3">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5、售后服务</w:t>
      </w:r>
    </w:p>
    <w:p w14:paraId="01D6778D">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 维修人员必须在接到维修电话后24 小时内恢复正常供水。若不能在24 小时内解决，须提供同等性能、同等配置的设备替换。在质保期内，与质保和维修相关的所有费用由中标人负责。</w:t>
      </w:r>
    </w:p>
    <w:p w14:paraId="309F87E3">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 乙方须对合同中规定的设备，提供经调试、试运行、验收合格后，免费质保期期间，因产品设计缺陷或制造质量不良而产生损坏或不能正常工作，乙方应免费更换、维修和正常保养。</w:t>
      </w:r>
    </w:p>
    <w:p w14:paraId="09AB8115">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 乙方须自行付费负责修理和更换任何由于设备自身的质量问题造成的损坏及故障。修好后，乙方需一式两份报告给采购人，包括故障原因，解决措施，完成修理所需时间及恢复正常运行周期等。</w:t>
      </w:r>
    </w:p>
    <w:p w14:paraId="4239ECCE">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(4)整套系统必须确保24 小时正常运行，即必须配备备用设施。</w:t>
      </w:r>
    </w:p>
    <w:p w14:paraId="2B3CFE60">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(5)乙方应提供整套设备的终身服务。</w:t>
      </w:r>
    </w:p>
    <w:p w14:paraId="3737C5AC">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6、备品备件供应</w:t>
      </w:r>
    </w:p>
    <w:p w14:paraId="02ABD3B8">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乙方必须以确保有足够的原厂生产的备件、附件和易损件满足设备正常运行需要。</w:t>
      </w:r>
    </w:p>
    <w:p w14:paraId="4B39865E">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7、合理化建议：由投标人自行提供。</w:t>
      </w:r>
    </w:p>
    <w:p w14:paraId="00FB9634">
      <w:pPr>
        <w:tabs>
          <w:tab w:val="left" w:pos="945"/>
        </w:tabs>
        <w:spacing w:line="360" w:lineRule="auto"/>
        <w:ind w:firstLine="480" w:firstLineChars="200"/>
        <w:rPr>
          <w:rFonts w:ascii="宋体" w:hAnsi="宋体"/>
          <w:bCs/>
          <w:sz w:val="24"/>
          <w:szCs w:val="24"/>
          <w:highlight w:val="none"/>
        </w:rPr>
      </w:pPr>
      <w:r>
        <w:rPr>
          <w:rFonts w:hint="eastAsia" w:ascii="宋体" w:hAnsi="宋体" w:eastAsia="宋体" w:cs="Times New Roman"/>
          <w:bCs/>
          <w:sz w:val="24"/>
          <w:szCs w:val="24"/>
          <w:highlight w:val="none"/>
        </w:rPr>
        <w:t>8、乙方对其供应的设备提供的质保按国家有关规定执行。</w:t>
      </w:r>
    </w:p>
    <w:p w14:paraId="30781A9D">
      <w:pPr>
        <w:spacing w:line="360" w:lineRule="auto"/>
        <w:ind w:firstLine="480" w:firstLineChars="200"/>
        <w:rPr>
          <w:rFonts w:ascii="宋体" w:hAnsi="宋体"/>
          <w:bCs/>
          <w:color w:val="000000"/>
          <w:sz w:val="24"/>
          <w:szCs w:val="24"/>
          <w:highlight w:val="none"/>
        </w:rPr>
      </w:pPr>
      <w:r>
        <w:rPr>
          <w:rFonts w:hint="eastAsia" w:ascii="宋体" w:hAnsi="宋体"/>
          <w:bCs/>
          <w:color w:val="000000"/>
          <w:sz w:val="24"/>
          <w:szCs w:val="24"/>
          <w:highlight w:val="none"/>
        </w:rPr>
        <w:t>七、违约责任：</w:t>
      </w:r>
    </w:p>
    <w:p w14:paraId="36F0F012">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1、如乙方逾期交货，除不可抗力外，乙方应向甲方就逾期交货部分支付违约金，每逾期供货一天，须扣1000元/套的违约金，乙方逾期交货超过15天的视为乙方不履行合同，甲方将解除合同，扣除违约金及履约保证金，如给甲方造成损失的，还应赔偿相应损失。</w:t>
      </w:r>
    </w:p>
    <w:p w14:paraId="7CABAD8B">
      <w:pPr>
        <w:tabs>
          <w:tab w:val="left" w:pos="945"/>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2、如乙方不按照采购人要求将合同货物送达采购人指定地点的，每次支付违约金为逾期交货部分总价款的千分之八，情节严重的按违约处理，采购人将终止合同，同时对乙方处以扣除履约保证金的违约处罚，并报相关网站公示。</w:t>
      </w:r>
    </w:p>
    <w:p w14:paraId="6ECE01C2">
      <w:pPr>
        <w:spacing w:line="360" w:lineRule="auto"/>
        <w:ind w:firstLine="480" w:firstLineChars="200"/>
        <w:rPr>
          <w:rFonts w:ascii="宋体" w:hAnsi="宋体"/>
          <w:bCs/>
          <w:color w:val="000000"/>
          <w:sz w:val="24"/>
          <w:szCs w:val="24"/>
          <w:highlight w:val="none"/>
        </w:rPr>
      </w:pPr>
      <w:r>
        <w:rPr>
          <w:rFonts w:hint="eastAsia" w:ascii="宋体" w:hAnsi="宋体"/>
          <w:bCs/>
          <w:color w:val="000000"/>
          <w:sz w:val="24"/>
          <w:highlight w:val="none"/>
          <w:lang w:val="zh-CN"/>
        </w:rPr>
        <w:t>八、</w:t>
      </w:r>
      <w:r>
        <w:rPr>
          <w:rFonts w:hint="eastAsia" w:ascii="宋体" w:hAnsi="宋体"/>
          <w:bCs/>
          <w:color w:val="000000"/>
          <w:sz w:val="24"/>
          <w:szCs w:val="24"/>
          <w:highlight w:val="none"/>
          <w:lang w:val="zh-CN"/>
        </w:rPr>
        <w:t>争议的解决</w:t>
      </w:r>
    </w:p>
    <w:p w14:paraId="4A9D4B82">
      <w:pPr>
        <w:numPr>
          <w:ilvl w:val="0"/>
          <w:numId w:val="13"/>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因货物的质量问题发生争议的，应当邀请国家认可的质量检测机构对货物质量进行鉴定。符合标准的，鉴定费由甲方承担；不符合质量标准的，鉴定费由乙方承担。</w:t>
      </w:r>
    </w:p>
    <w:p w14:paraId="3BADD006">
      <w:pPr>
        <w:numPr>
          <w:ilvl w:val="0"/>
          <w:numId w:val="13"/>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因履行本合同引起的或与本合同有关的争议，先协调解决，如协调解决不成，则可向甲方所在地（宜兴）法院起诉。</w:t>
      </w:r>
    </w:p>
    <w:p w14:paraId="58E7B450">
      <w:pPr>
        <w:spacing w:line="360" w:lineRule="auto"/>
        <w:ind w:firstLine="480" w:firstLineChars="200"/>
        <w:rPr>
          <w:rFonts w:ascii="宋体" w:hAnsi="宋体"/>
          <w:bCs/>
          <w:color w:val="000000"/>
          <w:sz w:val="24"/>
          <w:szCs w:val="24"/>
          <w:highlight w:val="none"/>
          <w:lang w:val="zh-CN"/>
        </w:rPr>
      </w:pPr>
      <w:r>
        <w:rPr>
          <w:rFonts w:hint="eastAsia" w:ascii="宋体" w:hAnsi="宋体"/>
          <w:bCs/>
          <w:color w:val="000000"/>
          <w:sz w:val="24"/>
          <w:szCs w:val="24"/>
          <w:highlight w:val="none"/>
        </w:rPr>
        <w:t>九、合同生效及其</w:t>
      </w:r>
      <w:r>
        <w:rPr>
          <w:rFonts w:hint="eastAsia" w:ascii="宋体" w:hAnsi="宋体"/>
          <w:bCs/>
          <w:color w:val="000000"/>
          <w:sz w:val="24"/>
          <w:szCs w:val="24"/>
          <w:highlight w:val="none"/>
          <w:lang w:val="zh-CN"/>
        </w:rPr>
        <w:t>它</w:t>
      </w:r>
    </w:p>
    <w:p w14:paraId="7965016F">
      <w:pPr>
        <w:spacing w:line="360" w:lineRule="auto"/>
        <w:ind w:left="480"/>
        <w:rPr>
          <w:rFonts w:ascii="宋体" w:hAnsi="宋体" w:eastAsia="宋体" w:cs="Times New Roman"/>
          <w:bCs/>
          <w:color w:val="000000"/>
          <w:sz w:val="24"/>
          <w:highlight w:val="none"/>
          <w:lang w:val="zh-CN"/>
        </w:rPr>
      </w:pPr>
      <w:r>
        <w:rPr>
          <w:rFonts w:hint="eastAsia" w:ascii="宋体" w:hAnsi="宋体" w:eastAsia="宋体" w:cs="Times New Roman"/>
          <w:bCs/>
          <w:color w:val="000000"/>
          <w:sz w:val="24"/>
          <w:highlight w:val="none"/>
          <w:lang w:val="zh-CN"/>
        </w:rPr>
        <w:t>1、乙方不履行合同或履行合同不符合约定的，甲方有权随时解除合同，并扣除违约金及履约保证金。如果甲方因此造成的实际损失超过约定的违约金及履约保证金，则乙方的赔偿额应以甲方的实际损失为准。</w:t>
      </w:r>
    </w:p>
    <w:p w14:paraId="6804A50C">
      <w:pPr>
        <w:spacing w:line="360" w:lineRule="auto"/>
        <w:ind w:left="480"/>
        <w:rPr>
          <w:rFonts w:ascii="宋体" w:hAnsi="宋体" w:eastAsia="宋体" w:cs="Times New Roman"/>
          <w:bCs/>
          <w:color w:val="000000"/>
          <w:sz w:val="24"/>
          <w:highlight w:val="none"/>
          <w:lang w:val="zh-CN"/>
        </w:rPr>
      </w:pPr>
      <w:r>
        <w:rPr>
          <w:rFonts w:hint="eastAsia" w:ascii="宋体" w:hAnsi="宋体" w:eastAsia="宋体" w:cs="Times New Roman"/>
          <w:bCs/>
          <w:color w:val="000000"/>
          <w:sz w:val="24"/>
          <w:highlight w:val="none"/>
          <w:lang w:val="zh-CN"/>
        </w:rPr>
        <w:t>2、合同经</w:t>
      </w:r>
      <w:r>
        <w:rPr>
          <w:rFonts w:hint="eastAsia" w:ascii="宋体" w:hAnsi="宋体" w:eastAsia="宋体" w:cs="Times New Roman"/>
          <w:bCs/>
          <w:color w:val="000000"/>
          <w:sz w:val="24"/>
          <w:highlight w:val="none"/>
        </w:rPr>
        <w:t>甲乙</w:t>
      </w:r>
      <w:r>
        <w:rPr>
          <w:rFonts w:hint="eastAsia" w:ascii="宋体" w:hAnsi="宋体" w:eastAsia="宋体" w:cs="Times New Roman"/>
          <w:bCs/>
          <w:color w:val="000000"/>
          <w:sz w:val="24"/>
          <w:highlight w:val="none"/>
          <w:lang w:val="zh-CN"/>
        </w:rPr>
        <w:t>双方代表签字并加盖公章（或合同章）后即生效。</w:t>
      </w:r>
    </w:p>
    <w:p w14:paraId="2BC310BA">
      <w:pPr>
        <w:spacing w:line="360" w:lineRule="auto"/>
        <w:ind w:left="400"/>
        <w:rPr>
          <w:rFonts w:ascii="宋体" w:hAnsi="宋体" w:eastAsia="宋体" w:cs="Times New Roman"/>
          <w:bCs/>
          <w:color w:val="000000"/>
          <w:sz w:val="24"/>
          <w:highlight w:val="none"/>
          <w:lang w:val="zh-CN"/>
        </w:rPr>
      </w:pPr>
      <w:r>
        <w:rPr>
          <w:rFonts w:hint="eastAsia" w:ascii="宋体" w:hAnsi="宋体" w:eastAsia="宋体" w:cs="Times New Roman"/>
          <w:bCs/>
          <w:color w:val="000000"/>
          <w:sz w:val="24"/>
          <w:highlight w:val="none"/>
          <w:lang w:val="zh-CN"/>
        </w:rPr>
        <w:t>3、合同签订后</w:t>
      </w:r>
      <w:r>
        <w:rPr>
          <w:rFonts w:hint="eastAsia" w:ascii="宋体" w:hAnsi="宋体" w:eastAsia="宋体" w:cs="Times New Roman"/>
          <w:bCs/>
          <w:color w:val="000000"/>
          <w:sz w:val="24"/>
          <w:highlight w:val="none"/>
        </w:rPr>
        <w:t>甲乙</w:t>
      </w:r>
      <w:r>
        <w:rPr>
          <w:rFonts w:hint="eastAsia" w:ascii="宋体" w:hAnsi="宋体" w:eastAsia="宋体" w:cs="Times New Roman"/>
          <w:bCs/>
          <w:color w:val="000000"/>
          <w:sz w:val="24"/>
          <w:highlight w:val="none"/>
          <w:lang w:val="zh-CN"/>
        </w:rPr>
        <w:t>双方即直接产生权利与义务的关系，合同执行过程中出现的问题应按照《</w:t>
      </w:r>
      <w:bookmarkStart w:id="48" w:name="OLE_LINK14"/>
      <w:r>
        <w:rPr>
          <w:rFonts w:hint="eastAsia" w:ascii="宋体" w:hAnsi="宋体" w:eastAsia="宋体" w:cs="Times New Roman"/>
          <w:bCs/>
          <w:color w:val="000000"/>
          <w:sz w:val="24"/>
          <w:highlight w:val="none"/>
          <w:lang w:val="zh-CN"/>
        </w:rPr>
        <w:t>中华人民共和国民法典</w:t>
      </w:r>
      <w:bookmarkEnd w:id="48"/>
      <w:r>
        <w:rPr>
          <w:rFonts w:hint="eastAsia" w:ascii="宋体" w:hAnsi="宋体" w:eastAsia="宋体" w:cs="Times New Roman"/>
          <w:bCs/>
          <w:color w:val="000000"/>
          <w:sz w:val="24"/>
          <w:highlight w:val="none"/>
          <w:lang w:val="zh-CN"/>
        </w:rPr>
        <w:t>》的规定办理，在合同履行过程中，双方如有争议，先由</w:t>
      </w:r>
      <w:r>
        <w:rPr>
          <w:rFonts w:hint="eastAsia" w:ascii="宋体" w:hAnsi="宋体" w:eastAsia="宋体" w:cs="Times New Roman"/>
          <w:bCs/>
          <w:color w:val="000000"/>
          <w:sz w:val="24"/>
          <w:highlight w:val="none"/>
        </w:rPr>
        <w:t>甲乙</w:t>
      </w:r>
      <w:r>
        <w:rPr>
          <w:rFonts w:hint="eastAsia" w:ascii="宋体" w:hAnsi="宋体" w:eastAsia="宋体" w:cs="Times New Roman"/>
          <w:bCs/>
          <w:color w:val="000000"/>
          <w:sz w:val="24"/>
          <w:highlight w:val="none"/>
          <w:lang w:val="zh-CN"/>
        </w:rPr>
        <w:t>双方协商解决，如协商不成，则可向甲方所在地（宜兴）法院起诉。</w:t>
      </w:r>
    </w:p>
    <w:p w14:paraId="0EE2DDAA">
      <w:pPr>
        <w:spacing w:line="360" w:lineRule="auto"/>
        <w:ind w:left="400"/>
        <w:rPr>
          <w:rFonts w:ascii="宋体" w:hAnsi="宋体" w:eastAsia="宋体" w:cs="Times New Roman"/>
          <w:bCs/>
          <w:color w:val="000000"/>
          <w:sz w:val="24"/>
          <w:highlight w:val="none"/>
          <w:lang w:val="zh-CN"/>
        </w:rPr>
      </w:pPr>
      <w:r>
        <w:rPr>
          <w:rFonts w:hint="eastAsia" w:ascii="宋体" w:hAnsi="宋体" w:eastAsia="宋体" w:cs="Times New Roman"/>
          <w:bCs/>
          <w:color w:val="000000"/>
          <w:sz w:val="24"/>
          <w:highlight w:val="none"/>
          <w:lang w:val="zh-CN"/>
        </w:rPr>
        <w:t>4、合同在执行过程中出现的未尽事宜，在不违背本合同和招标文件的原则下协议解决。</w:t>
      </w:r>
    </w:p>
    <w:p w14:paraId="10B34170">
      <w:pPr>
        <w:spacing w:line="360" w:lineRule="auto"/>
        <w:ind w:left="400"/>
        <w:rPr>
          <w:rFonts w:ascii="宋体" w:hAnsi="宋体" w:eastAsia="宋体" w:cs="Times New Roman"/>
          <w:bCs/>
          <w:color w:val="000000"/>
          <w:sz w:val="24"/>
          <w:highlight w:val="none"/>
          <w:lang w:val="zh-CN"/>
        </w:rPr>
      </w:pPr>
      <w:r>
        <w:rPr>
          <w:rFonts w:hint="eastAsia" w:ascii="宋体" w:hAnsi="宋体" w:eastAsia="宋体" w:cs="Times New Roman"/>
          <w:bCs/>
          <w:color w:val="000000"/>
          <w:sz w:val="24"/>
          <w:highlight w:val="none"/>
          <w:lang w:val="zh-CN"/>
        </w:rPr>
        <w:t>5、合同签订时或实际使用时数量可能会有较大变动，最终结算以实际使用数量结算，若由于采购方原因导致使用数量不足而终止合同的，不作为违约处理。</w:t>
      </w:r>
      <w:r>
        <w:rPr>
          <w:rFonts w:hint="eastAsia" w:ascii="宋体" w:hAnsi="宋体" w:eastAsia="宋体" w:cs="Times New Roman"/>
          <w:bCs/>
          <w:color w:val="000000"/>
          <w:sz w:val="24"/>
          <w:highlight w:val="none"/>
        </w:rPr>
        <w:t>乙方</w:t>
      </w:r>
      <w:r>
        <w:rPr>
          <w:rFonts w:hint="eastAsia" w:ascii="宋体" w:hAnsi="宋体" w:eastAsia="宋体" w:cs="Times New Roman"/>
          <w:bCs/>
          <w:color w:val="000000"/>
          <w:sz w:val="24"/>
          <w:highlight w:val="none"/>
          <w:lang w:val="zh-CN"/>
        </w:rPr>
        <w:t>必须充分考虑市场原料价格变动和实际使用数量的风险，最终结算以单价为准。</w:t>
      </w:r>
    </w:p>
    <w:p w14:paraId="5C408B3E">
      <w:pPr>
        <w:spacing w:line="360" w:lineRule="auto"/>
        <w:jc w:val="center"/>
        <w:outlineLvl w:val="0"/>
        <w:rPr>
          <w:rFonts w:ascii="黑体" w:hAnsi="黑体" w:eastAsia="黑体"/>
          <w:sz w:val="28"/>
          <w:highlight w:val="none"/>
        </w:rPr>
      </w:pPr>
    </w:p>
    <w:p w14:paraId="11972586">
      <w:pPr>
        <w:pStyle w:val="26"/>
        <w:ind w:firstLine="210"/>
        <w:rPr>
          <w:highlight w:val="none"/>
        </w:rPr>
      </w:pPr>
    </w:p>
    <w:p w14:paraId="7E2C9999">
      <w:pPr>
        <w:spacing w:line="360" w:lineRule="auto"/>
        <w:outlineLvl w:val="0"/>
        <w:rPr>
          <w:rFonts w:ascii="黑体" w:hAnsi="黑体" w:eastAsia="黑体"/>
          <w:sz w:val="28"/>
          <w:highlight w:val="none"/>
        </w:rPr>
      </w:pPr>
      <w:bookmarkStart w:id="49" w:name="_Toc64637570"/>
    </w:p>
    <w:p w14:paraId="0148C6E9">
      <w:pPr>
        <w:spacing w:line="360" w:lineRule="auto"/>
        <w:jc w:val="center"/>
        <w:outlineLvl w:val="0"/>
        <w:rPr>
          <w:rFonts w:ascii="黑体" w:hAnsi="黑体" w:eastAsia="黑体"/>
          <w:sz w:val="28"/>
          <w:highlight w:val="none"/>
        </w:rPr>
      </w:pPr>
      <w:r>
        <w:rPr>
          <w:rFonts w:hint="eastAsia" w:ascii="黑体" w:hAnsi="黑体" w:eastAsia="黑体"/>
          <w:sz w:val="28"/>
          <w:highlight w:val="none"/>
        </w:rPr>
        <w:t>第七章 投标文件（格式）</w:t>
      </w:r>
      <w:bookmarkEnd w:id="49"/>
    </w:p>
    <w:p w14:paraId="4DC63876">
      <w:pPr>
        <w:spacing w:line="360" w:lineRule="auto"/>
        <w:jc w:val="center"/>
        <w:outlineLvl w:val="0"/>
        <w:rPr>
          <w:rFonts w:ascii="黑体" w:hAnsi="黑体" w:eastAsia="黑体"/>
          <w:sz w:val="28"/>
          <w:highlight w:val="none"/>
        </w:rPr>
      </w:pPr>
    </w:p>
    <w:p w14:paraId="4F3EACE2">
      <w:pPr>
        <w:spacing w:line="360" w:lineRule="auto"/>
        <w:jc w:val="center"/>
        <w:outlineLvl w:val="0"/>
        <w:rPr>
          <w:rFonts w:ascii="黑体" w:hAnsi="黑体" w:eastAsia="黑体"/>
          <w:sz w:val="28"/>
          <w:highlight w:val="none"/>
        </w:rPr>
      </w:pPr>
    </w:p>
    <w:p w14:paraId="542597B4">
      <w:pPr>
        <w:rPr>
          <w:rFonts w:ascii="黑体" w:eastAsia="黑体"/>
          <w:b/>
          <w:sz w:val="120"/>
          <w:szCs w:val="120"/>
          <w:highlight w:val="none"/>
        </w:rPr>
      </w:pPr>
    </w:p>
    <w:p w14:paraId="6F146E4F">
      <w:pPr>
        <w:jc w:val="center"/>
        <w:rPr>
          <w:rFonts w:ascii="宋体" w:hAnsi="宋体"/>
          <w:b/>
          <w:sz w:val="120"/>
          <w:szCs w:val="120"/>
          <w:highlight w:val="none"/>
        </w:rPr>
      </w:pPr>
      <w:bookmarkStart w:id="50" w:name="_Toc29240"/>
      <w:r>
        <w:rPr>
          <w:rFonts w:hint="eastAsia" w:ascii="宋体" w:hAnsi="宋体"/>
          <w:b/>
          <w:sz w:val="120"/>
          <w:szCs w:val="120"/>
          <w:highlight w:val="none"/>
        </w:rPr>
        <w:t>投标文件</w:t>
      </w:r>
      <w:bookmarkEnd w:id="50"/>
    </w:p>
    <w:p w14:paraId="4E09F696">
      <w:pPr>
        <w:jc w:val="center"/>
        <w:rPr>
          <w:rFonts w:ascii="宋体" w:hAnsi="宋体"/>
          <w:b/>
          <w:sz w:val="32"/>
          <w:szCs w:val="32"/>
          <w:highlight w:val="none"/>
        </w:rPr>
      </w:pPr>
      <w:bookmarkStart w:id="51" w:name="_Toc2400"/>
      <w:r>
        <w:rPr>
          <w:rFonts w:hint="eastAsia" w:ascii="宋体" w:hAnsi="宋体"/>
          <w:b/>
          <w:sz w:val="32"/>
          <w:szCs w:val="32"/>
          <w:highlight w:val="none"/>
        </w:rPr>
        <w:t>项目编号：</w:t>
      </w:r>
      <w:bookmarkEnd w:id="51"/>
      <w:r>
        <w:rPr>
          <w:rFonts w:hint="eastAsia" w:ascii="宋体" w:hAnsi="宋体"/>
          <w:sz w:val="32"/>
          <w:highlight w:val="none"/>
          <w:lang w:eastAsia="zh-CN"/>
        </w:rPr>
        <w:t>YXGQ2025333</w:t>
      </w:r>
      <w:r>
        <w:rPr>
          <w:rFonts w:hint="eastAsia" w:ascii="宋体" w:hAnsi="宋体"/>
          <w:sz w:val="32"/>
          <w:highlight w:val="none"/>
        </w:rPr>
        <w:t xml:space="preserve"> </w:t>
      </w:r>
    </w:p>
    <w:p w14:paraId="30A6CF55">
      <w:pPr>
        <w:jc w:val="center"/>
        <w:rPr>
          <w:rFonts w:ascii="宋体" w:hAnsi="宋体"/>
          <w:b/>
          <w:sz w:val="32"/>
          <w:szCs w:val="32"/>
          <w:highlight w:val="none"/>
        </w:rPr>
      </w:pPr>
    </w:p>
    <w:p w14:paraId="47408EA2">
      <w:pPr>
        <w:rPr>
          <w:rFonts w:ascii="宋体" w:hAnsi="宋体"/>
          <w:b/>
          <w:sz w:val="32"/>
          <w:szCs w:val="32"/>
          <w:highlight w:val="none"/>
        </w:rPr>
      </w:pPr>
    </w:p>
    <w:p w14:paraId="12962D28">
      <w:pPr>
        <w:rPr>
          <w:rFonts w:ascii="宋体" w:hAnsi="宋体"/>
          <w:b/>
          <w:sz w:val="32"/>
          <w:szCs w:val="32"/>
          <w:highlight w:val="none"/>
        </w:rPr>
      </w:pPr>
    </w:p>
    <w:p w14:paraId="348AF7DD">
      <w:pPr>
        <w:rPr>
          <w:rFonts w:hint="eastAsia" w:ascii="宋体" w:hAnsi="宋体" w:eastAsiaTheme="minorEastAsia"/>
          <w:b/>
          <w:bCs/>
          <w:sz w:val="52"/>
          <w:highlight w:val="none"/>
          <w:u w:val="single"/>
          <w:lang w:eastAsia="zh-CN"/>
        </w:rPr>
      </w:pPr>
      <w:bookmarkStart w:id="52" w:name="_Toc10010"/>
      <w:r>
        <w:rPr>
          <w:rFonts w:hint="eastAsia" w:ascii="宋体" w:hAnsi="宋体"/>
          <w:b/>
          <w:sz w:val="32"/>
          <w:szCs w:val="32"/>
          <w:highlight w:val="none"/>
        </w:rPr>
        <w:t>项目名称：</w:t>
      </w:r>
      <w:bookmarkEnd w:id="52"/>
      <w:r>
        <w:rPr>
          <w:rFonts w:hint="eastAsia" w:ascii="宋体" w:hAnsi="宋体" w:eastAsia="宋体" w:cs="Times New Roman"/>
          <w:b/>
          <w:sz w:val="32"/>
          <w:szCs w:val="32"/>
          <w:highlight w:val="none"/>
          <w:u w:val="single"/>
          <w:lang w:eastAsia="zh-CN"/>
        </w:rPr>
        <w:t>新建小区无负压供水设备（2025年第三批）</w:t>
      </w:r>
    </w:p>
    <w:p w14:paraId="317E600C">
      <w:pPr>
        <w:rPr>
          <w:rFonts w:ascii="宋体" w:hAnsi="宋体"/>
          <w:b/>
          <w:sz w:val="32"/>
          <w:szCs w:val="32"/>
          <w:highlight w:val="none"/>
        </w:rPr>
      </w:pPr>
      <w:bookmarkStart w:id="53" w:name="_Toc8670"/>
      <w:r>
        <w:rPr>
          <w:rFonts w:hint="eastAsia" w:ascii="宋体" w:hAnsi="宋体"/>
          <w:b/>
          <w:sz w:val="32"/>
          <w:szCs w:val="32"/>
          <w:highlight w:val="none"/>
        </w:rPr>
        <w:t>投标人名称：</w:t>
      </w:r>
      <w:r>
        <w:rPr>
          <w:rFonts w:hint="eastAsia" w:ascii="宋体" w:hAnsi="宋体"/>
          <w:b/>
          <w:sz w:val="32"/>
          <w:szCs w:val="32"/>
          <w:highlight w:val="none"/>
          <w:u w:val="single"/>
        </w:rPr>
        <w:t xml:space="preserve">                                （盖公章）</w:t>
      </w:r>
      <w:bookmarkEnd w:id="53"/>
    </w:p>
    <w:p w14:paraId="694F5153">
      <w:pPr>
        <w:rPr>
          <w:rFonts w:ascii="宋体" w:hAnsi="宋体"/>
          <w:highlight w:val="none"/>
        </w:rPr>
      </w:pPr>
      <w:bookmarkStart w:id="54" w:name="_Toc24371"/>
      <w:r>
        <w:rPr>
          <w:rFonts w:hint="eastAsia" w:ascii="宋体" w:hAnsi="宋体"/>
          <w:b/>
          <w:sz w:val="32"/>
          <w:szCs w:val="32"/>
          <w:highlight w:val="none"/>
        </w:rPr>
        <w:t>法定代表人或其被授权代表：</w:t>
      </w:r>
      <w:r>
        <w:rPr>
          <w:rFonts w:hint="eastAsia" w:ascii="宋体" w:hAnsi="宋体"/>
          <w:b/>
          <w:sz w:val="32"/>
          <w:szCs w:val="32"/>
          <w:highlight w:val="none"/>
          <w:u w:val="single"/>
        </w:rPr>
        <w:t xml:space="preserve">                 （签名）</w:t>
      </w:r>
      <w:bookmarkEnd w:id="54"/>
    </w:p>
    <w:p w14:paraId="715311B2">
      <w:pPr>
        <w:rPr>
          <w:rFonts w:ascii="楷体_GB2312" w:eastAsia="楷体_GB2312"/>
          <w:b/>
          <w:sz w:val="32"/>
          <w:szCs w:val="32"/>
          <w:highlight w:val="none"/>
        </w:rPr>
      </w:pPr>
    </w:p>
    <w:p w14:paraId="310C9DCF">
      <w:pPr>
        <w:rPr>
          <w:rFonts w:ascii="楷体_GB2312" w:eastAsia="楷体_GB2312"/>
          <w:b/>
          <w:sz w:val="32"/>
          <w:szCs w:val="32"/>
          <w:highlight w:val="none"/>
        </w:rPr>
      </w:pPr>
    </w:p>
    <w:p w14:paraId="44B32C02">
      <w:pPr>
        <w:rPr>
          <w:rFonts w:ascii="楷体_GB2312" w:eastAsia="楷体_GB2312"/>
          <w:b/>
          <w:sz w:val="32"/>
          <w:szCs w:val="32"/>
          <w:highlight w:val="none"/>
        </w:rPr>
      </w:pPr>
    </w:p>
    <w:p w14:paraId="26FF410D">
      <w:pPr>
        <w:rPr>
          <w:rFonts w:ascii="楷体_GB2312" w:eastAsia="楷体_GB2312"/>
          <w:b/>
          <w:sz w:val="32"/>
          <w:szCs w:val="32"/>
          <w:highlight w:val="none"/>
        </w:rPr>
      </w:pPr>
    </w:p>
    <w:p w14:paraId="4EF16A67">
      <w:pPr>
        <w:jc w:val="center"/>
        <w:rPr>
          <w:rFonts w:ascii="宋体" w:hAnsi="宋体"/>
          <w:b/>
          <w:sz w:val="32"/>
          <w:szCs w:val="32"/>
          <w:highlight w:val="none"/>
        </w:rPr>
      </w:pPr>
      <w:bookmarkStart w:id="55" w:name="_Toc1179"/>
      <w:r>
        <w:rPr>
          <w:rFonts w:hint="eastAsia" w:ascii="宋体" w:hAnsi="宋体"/>
          <w:b/>
          <w:sz w:val="32"/>
          <w:szCs w:val="32"/>
          <w:highlight w:val="none"/>
        </w:rPr>
        <w:t>日期：</w:t>
      </w:r>
      <w:r>
        <w:rPr>
          <w:rFonts w:hint="eastAsia" w:ascii="宋体" w:hAnsi="宋体"/>
          <w:b/>
          <w:sz w:val="32"/>
          <w:szCs w:val="32"/>
          <w:highlight w:val="none"/>
          <w:u w:val="single"/>
        </w:rPr>
        <w:t xml:space="preserve">      年    月    日</w:t>
      </w:r>
      <w:bookmarkEnd w:id="55"/>
    </w:p>
    <w:p w14:paraId="799FD77D">
      <w:pPr>
        <w:rPr>
          <w:rFonts w:ascii="宋体"/>
          <w:b/>
          <w:bCs/>
          <w:sz w:val="24"/>
          <w:szCs w:val="24"/>
          <w:highlight w:val="none"/>
        </w:rPr>
      </w:pPr>
      <w:bookmarkStart w:id="56" w:name="OLE_LINK24"/>
      <w:bookmarkStart w:id="57" w:name="_Toc24602"/>
      <w:r>
        <w:rPr>
          <w:rFonts w:hint="eastAsia" w:ascii="黑体" w:hAnsi="宋体" w:eastAsia="黑体"/>
          <w:bCs/>
          <w:sz w:val="28"/>
          <w:szCs w:val="28"/>
          <w:highlight w:val="none"/>
        </w:rPr>
        <w:t>（一）投标函（格式）：</w:t>
      </w:r>
    </w:p>
    <w:bookmarkEnd w:id="56"/>
    <w:p w14:paraId="3112D811">
      <w:pPr>
        <w:spacing w:beforeLines="50" w:afterLines="50" w:line="360" w:lineRule="auto"/>
        <w:jc w:val="center"/>
        <w:rPr>
          <w:rFonts w:ascii="黑体" w:eastAsia="黑体"/>
          <w:bCs/>
          <w:sz w:val="28"/>
          <w:szCs w:val="28"/>
          <w:highlight w:val="none"/>
        </w:rPr>
      </w:pPr>
      <w:r>
        <w:rPr>
          <w:rFonts w:hint="eastAsia" w:ascii="黑体" w:eastAsia="黑体"/>
          <w:bCs/>
          <w:sz w:val="28"/>
          <w:szCs w:val="28"/>
          <w:highlight w:val="none"/>
        </w:rPr>
        <w:t>投标函</w:t>
      </w:r>
    </w:p>
    <w:p w14:paraId="55C326CA">
      <w:pPr>
        <w:spacing w:line="360" w:lineRule="auto"/>
        <w:rPr>
          <w:rFonts w:ascii="宋体" w:hAnsi="宋体"/>
          <w:bCs/>
          <w:sz w:val="24"/>
          <w:highlight w:val="none"/>
          <w:lang w:val="zh-CN"/>
        </w:rPr>
      </w:pPr>
      <w:r>
        <w:rPr>
          <w:rFonts w:hint="eastAsia" w:ascii="宋体" w:hAnsi="宋体"/>
          <w:bCs/>
          <w:sz w:val="24"/>
          <w:highlight w:val="none"/>
          <w:lang w:val="zh-CN"/>
        </w:rPr>
        <w:t>致宜兴市公用投资管理有限公司、江苏益诚建设工程咨询有限公司：</w:t>
      </w:r>
    </w:p>
    <w:p w14:paraId="74DC51BB">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我方收到你们YXGQ2025333招标文件，经仔细阅读和研究，我方决定参加投标。</w:t>
      </w:r>
    </w:p>
    <w:p w14:paraId="583E8B64">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我方愿意按照招标文件的一切要求，提供投标设备，投标总价详见《开标一览表》。</w:t>
      </w:r>
    </w:p>
    <w:p w14:paraId="350A40BC">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我方已对照招标设备的技术参数要求，填写了投标设备的技术参数要求，详见《偏离表》。</w:t>
      </w:r>
    </w:p>
    <w:p w14:paraId="59683D90">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我方承诺本次采购项目清单中，若涉及强制采购节能产品或信息安全产品的，将按照招标文件及法律法规要求提供相关产品。</w:t>
      </w:r>
    </w:p>
    <w:p w14:paraId="3F1CBBCA">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我方同意按招标文件中的规定，本投标文件的有效期为投标截止之日起的60天（含提交当日）。在特殊情况下，可与贵方协商延长投标文件的有效期。</w:t>
      </w:r>
    </w:p>
    <w:p w14:paraId="0ADB80D3">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如果我方的投标文件被接受，我方将履行招投标文件中规定的每一项要求，按期、按质、按量、按地点，完成交货任务。</w:t>
      </w:r>
    </w:p>
    <w:p w14:paraId="500ADD5A">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我方愿意根据贵方及评标委员会的要求，提供投标文件中所有材料的原件及相关证明性资料。</w:t>
      </w:r>
    </w:p>
    <w:p w14:paraId="0C75F4FD">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我方认为采购人有权确定中标供应商。</w:t>
      </w:r>
      <w:r>
        <w:rPr>
          <w:rFonts w:hint="eastAsia" w:ascii="宋体" w:hAnsi="宋体"/>
          <w:bCs/>
          <w:sz w:val="24"/>
          <w:szCs w:val="24"/>
          <w:highlight w:val="none"/>
          <w:lang w:val="zh-CN"/>
        </w:rPr>
        <w:t>除因不可抗力或招标文件认可的情形以外，我方绝不放弃中标资格</w:t>
      </w:r>
      <w:r>
        <w:rPr>
          <w:rFonts w:hint="eastAsia" w:ascii="宋体" w:hAnsi="宋体"/>
          <w:bCs/>
          <w:sz w:val="24"/>
          <w:highlight w:val="none"/>
          <w:lang w:val="zh-CN"/>
        </w:rPr>
        <w:t>。</w:t>
      </w:r>
    </w:p>
    <w:p w14:paraId="56145BEB">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我方愿意按《中华人民共和国民法典》和合同条款履行自己的全部责任。</w:t>
      </w:r>
    </w:p>
    <w:p w14:paraId="4266A765">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我方愿意按招标文件的规定交纳投标保证金。</w:t>
      </w:r>
    </w:p>
    <w:p w14:paraId="1DBA681B">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如果我方中标，我方愿意遵守招标文件和中标通知书的规定，在指定时间和地点与采购人签订合同，并在签订合同前按招标文件的规定交纳履约保证金。</w:t>
      </w:r>
    </w:p>
    <w:p w14:paraId="68B10124">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szCs w:val="24"/>
          <w:highlight w:val="none"/>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14:paraId="627B8A94">
      <w:pPr>
        <w:numPr>
          <w:ilvl w:val="0"/>
          <w:numId w:val="14"/>
        </w:numPr>
        <w:spacing w:line="360" w:lineRule="auto"/>
        <w:ind w:firstLine="480" w:firstLineChars="200"/>
        <w:rPr>
          <w:rFonts w:ascii="宋体" w:hAnsi="宋体"/>
          <w:bCs/>
          <w:sz w:val="24"/>
          <w:highlight w:val="none"/>
          <w:lang w:val="zh-CN"/>
        </w:rPr>
      </w:pPr>
      <w:bookmarkStart w:id="58" w:name="OLE_LINK231"/>
      <w:r>
        <w:rPr>
          <w:rFonts w:hint="eastAsia" w:ascii="宋体" w:hAnsi="宋体"/>
          <w:bCs/>
          <w:sz w:val="24"/>
          <w:szCs w:val="24"/>
          <w:highlight w:val="none"/>
        </w:rPr>
        <w:t>我方不是为本项目</w:t>
      </w:r>
      <w:r>
        <w:rPr>
          <w:rFonts w:ascii="宋体" w:hAnsi="宋体"/>
          <w:bCs/>
          <w:sz w:val="24"/>
          <w:szCs w:val="24"/>
          <w:highlight w:val="none"/>
        </w:rPr>
        <w:t>提供整体设计、规范编制或者项目管理、监理、检测等服务的供应商</w:t>
      </w:r>
      <w:r>
        <w:rPr>
          <w:rFonts w:hint="eastAsia" w:ascii="宋体" w:hAnsi="宋体"/>
          <w:bCs/>
          <w:sz w:val="24"/>
          <w:szCs w:val="24"/>
          <w:highlight w:val="none"/>
        </w:rPr>
        <w:t>。</w:t>
      </w:r>
      <w:bookmarkEnd w:id="58"/>
    </w:p>
    <w:p w14:paraId="79EB5CF0">
      <w:pPr>
        <w:numPr>
          <w:ilvl w:val="0"/>
          <w:numId w:val="14"/>
        </w:numPr>
        <w:spacing w:line="360" w:lineRule="auto"/>
        <w:ind w:firstLine="480" w:firstLineChars="200"/>
        <w:rPr>
          <w:rFonts w:ascii="宋体" w:hAnsi="宋体"/>
          <w:bCs/>
          <w:sz w:val="24"/>
          <w:highlight w:val="none"/>
          <w:lang w:val="zh-CN"/>
        </w:rPr>
      </w:pPr>
      <w:bookmarkStart w:id="59" w:name="OLE_LINK233"/>
      <w:r>
        <w:rPr>
          <w:rFonts w:hint="eastAsia" w:ascii="宋体" w:hAnsi="宋体"/>
          <w:bCs/>
          <w:sz w:val="24"/>
          <w:szCs w:val="24"/>
          <w:highlight w:val="none"/>
        </w:rPr>
        <w:t>关联单位情况说明：</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0A21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vAlign w:val="center"/>
          </w:tcPr>
          <w:p w14:paraId="735B38F9">
            <w:pPr>
              <w:spacing w:line="360" w:lineRule="auto"/>
              <w:rPr>
                <w:rFonts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单位负责人为同一人的其他单位</w:t>
            </w:r>
          </w:p>
        </w:tc>
        <w:tc>
          <w:tcPr>
            <w:tcW w:w="4680" w:type="dxa"/>
            <w:vAlign w:val="center"/>
          </w:tcPr>
          <w:p w14:paraId="079ECF4C">
            <w:pPr>
              <w:spacing w:line="360" w:lineRule="auto"/>
              <w:rPr>
                <w:rFonts w:ascii="宋体" w:hAnsi="宋体"/>
                <w:bCs/>
                <w:sz w:val="24"/>
                <w:highlight w:val="none"/>
                <w:lang w:val="zh-CN"/>
              </w:rPr>
            </w:pPr>
          </w:p>
        </w:tc>
      </w:tr>
      <w:tr w14:paraId="1DD7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vAlign w:val="center"/>
          </w:tcPr>
          <w:p w14:paraId="4598508A">
            <w:pPr>
              <w:spacing w:line="360" w:lineRule="auto"/>
              <w:rPr>
                <w:rFonts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存在直接控股、管理关系的其他单位</w:t>
            </w:r>
          </w:p>
        </w:tc>
        <w:tc>
          <w:tcPr>
            <w:tcW w:w="4680" w:type="dxa"/>
            <w:vAlign w:val="center"/>
          </w:tcPr>
          <w:p w14:paraId="459972BA">
            <w:pPr>
              <w:spacing w:line="360" w:lineRule="auto"/>
              <w:rPr>
                <w:rFonts w:ascii="宋体" w:hAnsi="宋体"/>
                <w:bCs/>
                <w:sz w:val="24"/>
                <w:highlight w:val="none"/>
                <w:lang w:val="zh-CN"/>
              </w:rPr>
            </w:pPr>
          </w:p>
        </w:tc>
      </w:tr>
    </w:tbl>
    <w:p w14:paraId="0B5BC643">
      <w:pPr>
        <w:spacing w:line="360" w:lineRule="auto"/>
        <w:ind w:left="480"/>
        <w:rPr>
          <w:rFonts w:ascii="宋体" w:hAnsi="宋体"/>
          <w:bCs/>
          <w:sz w:val="24"/>
          <w:highlight w:val="none"/>
          <w:lang w:val="zh-CN"/>
        </w:rPr>
      </w:pPr>
      <w:r>
        <w:rPr>
          <w:rFonts w:hint="eastAsia" w:ascii="宋体" w:hAnsi="宋体"/>
          <w:bCs/>
          <w:sz w:val="24"/>
          <w:highlight w:val="none"/>
          <w:lang w:val="zh-CN"/>
        </w:rPr>
        <w:t>注：没有请填无。</w:t>
      </w:r>
    </w:p>
    <w:p w14:paraId="096D1E83">
      <w:pPr>
        <w:numPr>
          <w:ilvl w:val="0"/>
          <w:numId w:val="14"/>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与本投标有关的一切正式往来函电，请联系：</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14:paraId="374FF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04290189">
            <w:pPr>
              <w:spacing w:line="360" w:lineRule="auto"/>
              <w:jc w:val="center"/>
              <w:rPr>
                <w:rFonts w:ascii="宋体" w:hAnsi="宋体"/>
                <w:bCs/>
                <w:sz w:val="24"/>
                <w:highlight w:val="none"/>
                <w:lang w:val="zh-CN"/>
              </w:rPr>
            </w:pPr>
            <w:bookmarkStart w:id="60" w:name="OLE_LINK249"/>
            <w:r>
              <w:rPr>
                <w:rFonts w:hint="eastAsia" w:ascii="宋体" w:hAnsi="宋体"/>
                <w:bCs/>
                <w:sz w:val="24"/>
                <w:highlight w:val="none"/>
                <w:lang w:val="zh-CN"/>
              </w:rPr>
              <w:t>地址</w:t>
            </w:r>
          </w:p>
        </w:tc>
        <w:tc>
          <w:tcPr>
            <w:tcW w:w="2823" w:type="dxa"/>
            <w:vAlign w:val="center"/>
          </w:tcPr>
          <w:p w14:paraId="00F6AEFA">
            <w:pPr>
              <w:spacing w:line="360" w:lineRule="auto"/>
              <w:jc w:val="center"/>
              <w:rPr>
                <w:rFonts w:ascii="宋体" w:hAnsi="宋体"/>
                <w:bCs/>
                <w:sz w:val="24"/>
                <w:highlight w:val="none"/>
                <w:lang w:val="zh-CN"/>
              </w:rPr>
            </w:pPr>
          </w:p>
        </w:tc>
        <w:tc>
          <w:tcPr>
            <w:tcW w:w="1252" w:type="dxa"/>
            <w:vAlign w:val="center"/>
          </w:tcPr>
          <w:p w14:paraId="32475002">
            <w:pPr>
              <w:spacing w:line="360" w:lineRule="auto"/>
              <w:jc w:val="center"/>
              <w:rPr>
                <w:rFonts w:ascii="宋体" w:hAnsi="宋体"/>
                <w:bCs/>
                <w:sz w:val="24"/>
                <w:highlight w:val="none"/>
                <w:lang w:val="zh-CN"/>
              </w:rPr>
            </w:pPr>
            <w:r>
              <w:rPr>
                <w:rFonts w:hint="eastAsia" w:ascii="宋体" w:hAnsi="宋体"/>
                <w:bCs/>
                <w:sz w:val="24"/>
                <w:highlight w:val="none"/>
                <w:lang w:val="zh-CN"/>
              </w:rPr>
              <w:t>邮编</w:t>
            </w:r>
          </w:p>
        </w:tc>
        <w:tc>
          <w:tcPr>
            <w:tcW w:w="3675" w:type="dxa"/>
            <w:vAlign w:val="center"/>
          </w:tcPr>
          <w:p w14:paraId="5FB194A0">
            <w:pPr>
              <w:spacing w:line="360" w:lineRule="auto"/>
              <w:jc w:val="center"/>
              <w:rPr>
                <w:rFonts w:ascii="宋体" w:hAnsi="宋体"/>
                <w:bCs/>
                <w:sz w:val="24"/>
                <w:highlight w:val="none"/>
                <w:lang w:val="zh-CN"/>
              </w:rPr>
            </w:pPr>
          </w:p>
        </w:tc>
      </w:tr>
      <w:tr w14:paraId="7870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56271633">
            <w:pPr>
              <w:spacing w:line="360" w:lineRule="auto"/>
              <w:jc w:val="center"/>
              <w:rPr>
                <w:rFonts w:ascii="宋体" w:hAnsi="宋体"/>
                <w:bCs/>
                <w:sz w:val="24"/>
                <w:highlight w:val="none"/>
                <w:lang w:val="zh-CN"/>
              </w:rPr>
            </w:pPr>
            <w:r>
              <w:rPr>
                <w:rFonts w:hint="eastAsia" w:ascii="宋体" w:hAnsi="宋体"/>
                <w:bCs/>
                <w:sz w:val="24"/>
                <w:highlight w:val="none"/>
                <w:lang w:val="zh-CN"/>
              </w:rPr>
              <w:t>传真</w:t>
            </w:r>
          </w:p>
        </w:tc>
        <w:tc>
          <w:tcPr>
            <w:tcW w:w="2823" w:type="dxa"/>
            <w:vAlign w:val="center"/>
          </w:tcPr>
          <w:p w14:paraId="68222EC8">
            <w:pPr>
              <w:spacing w:line="360" w:lineRule="auto"/>
              <w:jc w:val="center"/>
              <w:rPr>
                <w:rFonts w:ascii="宋体" w:hAnsi="宋体"/>
                <w:bCs/>
                <w:sz w:val="24"/>
                <w:highlight w:val="none"/>
                <w:lang w:val="zh-CN"/>
              </w:rPr>
            </w:pPr>
          </w:p>
        </w:tc>
        <w:tc>
          <w:tcPr>
            <w:tcW w:w="1252" w:type="dxa"/>
            <w:vAlign w:val="center"/>
          </w:tcPr>
          <w:p w14:paraId="430615A3">
            <w:pPr>
              <w:spacing w:line="360" w:lineRule="auto"/>
              <w:jc w:val="center"/>
              <w:rPr>
                <w:rFonts w:ascii="宋体" w:hAnsi="宋体"/>
                <w:bCs/>
                <w:sz w:val="24"/>
                <w:highlight w:val="none"/>
                <w:lang w:val="zh-CN"/>
              </w:rPr>
            </w:pPr>
            <w:r>
              <w:rPr>
                <w:rFonts w:hint="eastAsia" w:ascii="宋体" w:hAnsi="宋体"/>
                <w:bCs/>
                <w:sz w:val="24"/>
                <w:highlight w:val="none"/>
                <w:lang w:val="zh-CN"/>
              </w:rPr>
              <w:t>办公电话</w:t>
            </w:r>
          </w:p>
        </w:tc>
        <w:tc>
          <w:tcPr>
            <w:tcW w:w="3675" w:type="dxa"/>
            <w:vAlign w:val="center"/>
          </w:tcPr>
          <w:p w14:paraId="30A4ED25">
            <w:pPr>
              <w:spacing w:line="360" w:lineRule="auto"/>
              <w:jc w:val="center"/>
              <w:rPr>
                <w:rFonts w:ascii="宋体" w:hAnsi="宋体"/>
                <w:bCs/>
                <w:sz w:val="24"/>
                <w:highlight w:val="none"/>
                <w:lang w:val="zh-CN"/>
              </w:rPr>
            </w:pPr>
          </w:p>
        </w:tc>
      </w:tr>
      <w:tr w14:paraId="7CCCA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02C57126">
            <w:pPr>
              <w:spacing w:line="360" w:lineRule="auto"/>
              <w:jc w:val="center"/>
              <w:rPr>
                <w:rFonts w:ascii="宋体" w:hAnsi="宋体" w:eastAsia="宋体"/>
                <w:bCs/>
                <w:sz w:val="24"/>
                <w:highlight w:val="none"/>
              </w:rPr>
            </w:pPr>
            <w:r>
              <w:rPr>
                <w:rFonts w:hint="eastAsia" w:ascii="宋体" w:hAnsi="宋体"/>
                <w:bCs/>
                <w:sz w:val="24"/>
                <w:highlight w:val="none"/>
              </w:rPr>
              <w:t>法定代表人</w:t>
            </w:r>
          </w:p>
        </w:tc>
        <w:tc>
          <w:tcPr>
            <w:tcW w:w="2823" w:type="dxa"/>
            <w:vAlign w:val="center"/>
          </w:tcPr>
          <w:p w14:paraId="26ED0725">
            <w:pPr>
              <w:spacing w:line="360" w:lineRule="auto"/>
              <w:jc w:val="center"/>
              <w:rPr>
                <w:rFonts w:ascii="宋体" w:hAnsi="宋体"/>
                <w:bCs/>
                <w:sz w:val="24"/>
                <w:highlight w:val="none"/>
                <w:lang w:val="zh-CN"/>
              </w:rPr>
            </w:pPr>
          </w:p>
        </w:tc>
        <w:tc>
          <w:tcPr>
            <w:tcW w:w="1252" w:type="dxa"/>
            <w:vAlign w:val="center"/>
          </w:tcPr>
          <w:p w14:paraId="490DE450">
            <w:pPr>
              <w:spacing w:line="360" w:lineRule="auto"/>
              <w:jc w:val="center"/>
              <w:rPr>
                <w:rFonts w:ascii="宋体" w:hAnsi="宋体"/>
                <w:bCs/>
                <w:sz w:val="24"/>
                <w:highlight w:val="none"/>
                <w:lang w:val="zh-CN"/>
              </w:rPr>
            </w:pPr>
            <w:r>
              <w:rPr>
                <w:rFonts w:hint="eastAsia" w:ascii="宋体" w:hAnsi="宋体"/>
                <w:bCs/>
                <w:sz w:val="24"/>
                <w:highlight w:val="none"/>
                <w:lang w:val="zh-CN"/>
              </w:rPr>
              <w:t>手机号码</w:t>
            </w:r>
          </w:p>
        </w:tc>
        <w:tc>
          <w:tcPr>
            <w:tcW w:w="3675" w:type="dxa"/>
            <w:vAlign w:val="center"/>
          </w:tcPr>
          <w:p w14:paraId="3EC9EA27">
            <w:pPr>
              <w:spacing w:line="360" w:lineRule="auto"/>
              <w:jc w:val="center"/>
              <w:rPr>
                <w:rFonts w:ascii="宋体" w:hAnsi="宋体"/>
                <w:bCs/>
                <w:sz w:val="24"/>
                <w:highlight w:val="none"/>
                <w:lang w:val="zh-CN"/>
              </w:rPr>
            </w:pPr>
          </w:p>
        </w:tc>
      </w:tr>
      <w:tr w14:paraId="6503D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777DB979">
            <w:pPr>
              <w:spacing w:line="360" w:lineRule="auto"/>
              <w:jc w:val="center"/>
              <w:rPr>
                <w:rFonts w:ascii="宋体" w:hAnsi="宋体"/>
                <w:bCs/>
                <w:sz w:val="24"/>
                <w:highlight w:val="none"/>
                <w:lang w:val="zh-CN"/>
              </w:rPr>
            </w:pPr>
            <w:r>
              <w:rPr>
                <w:rFonts w:hint="eastAsia" w:ascii="宋体" w:hAnsi="宋体"/>
                <w:bCs/>
                <w:sz w:val="24"/>
                <w:highlight w:val="none"/>
                <w:lang w:val="zh-CN"/>
              </w:rPr>
              <w:t>联系人</w:t>
            </w:r>
          </w:p>
        </w:tc>
        <w:tc>
          <w:tcPr>
            <w:tcW w:w="2823" w:type="dxa"/>
            <w:vAlign w:val="center"/>
          </w:tcPr>
          <w:p w14:paraId="19D281A6">
            <w:pPr>
              <w:spacing w:line="360" w:lineRule="auto"/>
              <w:jc w:val="center"/>
              <w:rPr>
                <w:rFonts w:ascii="宋体" w:hAnsi="宋体"/>
                <w:bCs/>
                <w:sz w:val="24"/>
                <w:highlight w:val="none"/>
                <w:lang w:val="zh-CN"/>
              </w:rPr>
            </w:pPr>
          </w:p>
        </w:tc>
        <w:tc>
          <w:tcPr>
            <w:tcW w:w="1252" w:type="dxa"/>
            <w:vAlign w:val="center"/>
          </w:tcPr>
          <w:p w14:paraId="1243AF0D">
            <w:pPr>
              <w:spacing w:line="360" w:lineRule="auto"/>
              <w:jc w:val="center"/>
              <w:rPr>
                <w:rFonts w:ascii="宋体" w:hAnsi="宋体"/>
                <w:bCs/>
                <w:sz w:val="24"/>
                <w:highlight w:val="none"/>
                <w:lang w:val="zh-CN"/>
              </w:rPr>
            </w:pPr>
            <w:r>
              <w:rPr>
                <w:rFonts w:hint="eastAsia" w:ascii="宋体" w:hAnsi="宋体"/>
                <w:bCs/>
                <w:sz w:val="24"/>
                <w:highlight w:val="none"/>
                <w:lang w:val="zh-CN"/>
              </w:rPr>
              <w:t>手机号码</w:t>
            </w:r>
          </w:p>
        </w:tc>
        <w:tc>
          <w:tcPr>
            <w:tcW w:w="3675" w:type="dxa"/>
            <w:vAlign w:val="center"/>
          </w:tcPr>
          <w:p w14:paraId="6A2601A2">
            <w:pPr>
              <w:spacing w:line="360" w:lineRule="auto"/>
              <w:jc w:val="center"/>
              <w:rPr>
                <w:rFonts w:ascii="宋体" w:hAnsi="宋体"/>
                <w:bCs/>
                <w:sz w:val="24"/>
                <w:highlight w:val="none"/>
                <w:lang w:val="zh-CN"/>
              </w:rPr>
            </w:pPr>
          </w:p>
        </w:tc>
      </w:tr>
      <w:tr w14:paraId="6FC72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683EEF71">
            <w:pPr>
              <w:spacing w:line="360" w:lineRule="auto"/>
              <w:jc w:val="center"/>
              <w:rPr>
                <w:rFonts w:ascii="宋体" w:hAnsi="宋体"/>
                <w:bCs/>
                <w:sz w:val="24"/>
                <w:highlight w:val="none"/>
                <w:lang w:val="zh-CN"/>
              </w:rPr>
            </w:pPr>
            <w:r>
              <w:rPr>
                <w:rFonts w:hint="eastAsia" w:ascii="宋体" w:hAnsi="宋体"/>
                <w:bCs/>
                <w:sz w:val="24"/>
                <w:highlight w:val="none"/>
                <w:lang w:val="zh-CN"/>
              </w:rPr>
              <w:t>开户名称</w:t>
            </w:r>
          </w:p>
        </w:tc>
        <w:tc>
          <w:tcPr>
            <w:tcW w:w="7750" w:type="dxa"/>
            <w:gridSpan w:val="3"/>
            <w:vAlign w:val="center"/>
          </w:tcPr>
          <w:p w14:paraId="58E59FFC">
            <w:pPr>
              <w:spacing w:line="360" w:lineRule="auto"/>
              <w:jc w:val="center"/>
              <w:rPr>
                <w:rFonts w:ascii="宋体" w:hAnsi="宋体"/>
                <w:bCs/>
                <w:sz w:val="24"/>
                <w:highlight w:val="none"/>
                <w:lang w:val="zh-CN"/>
              </w:rPr>
            </w:pPr>
          </w:p>
        </w:tc>
      </w:tr>
      <w:tr w14:paraId="2651E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04D42A1C">
            <w:pPr>
              <w:spacing w:line="360" w:lineRule="auto"/>
              <w:jc w:val="center"/>
              <w:rPr>
                <w:rFonts w:ascii="宋体" w:hAnsi="宋体"/>
                <w:bCs/>
                <w:sz w:val="24"/>
                <w:highlight w:val="none"/>
                <w:lang w:val="zh-CN"/>
              </w:rPr>
            </w:pPr>
            <w:r>
              <w:rPr>
                <w:rFonts w:hint="eastAsia" w:ascii="宋体" w:hAnsi="宋体"/>
                <w:bCs/>
                <w:sz w:val="24"/>
                <w:highlight w:val="none"/>
                <w:lang w:val="zh-CN"/>
              </w:rPr>
              <w:t>开户银行</w:t>
            </w:r>
          </w:p>
        </w:tc>
        <w:tc>
          <w:tcPr>
            <w:tcW w:w="2823" w:type="dxa"/>
            <w:vAlign w:val="center"/>
          </w:tcPr>
          <w:p w14:paraId="783F51CA">
            <w:pPr>
              <w:spacing w:line="360" w:lineRule="auto"/>
              <w:jc w:val="center"/>
              <w:rPr>
                <w:rFonts w:ascii="宋体" w:hAnsi="宋体"/>
                <w:bCs/>
                <w:sz w:val="24"/>
                <w:highlight w:val="none"/>
                <w:lang w:val="zh-CN"/>
              </w:rPr>
            </w:pPr>
          </w:p>
        </w:tc>
        <w:tc>
          <w:tcPr>
            <w:tcW w:w="1252" w:type="dxa"/>
            <w:vAlign w:val="center"/>
          </w:tcPr>
          <w:p w14:paraId="62675DEA">
            <w:pPr>
              <w:spacing w:line="360" w:lineRule="auto"/>
              <w:jc w:val="center"/>
              <w:rPr>
                <w:rFonts w:ascii="宋体" w:hAnsi="宋体"/>
                <w:bCs/>
                <w:sz w:val="24"/>
                <w:highlight w:val="none"/>
                <w:lang w:val="zh-CN"/>
              </w:rPr>
            </w:pPr>
            <w:r>
              <w:rPr>
                <w:rFonts w:hint="eastAsia" w:ascii="宋体" w:hAnsi="宋体"/>
                <w:bCs/>
                <w:sz w:val="24"/>
                <w:highlight w:val="none"/>
                <w:lang w:val="zh-CN"/>
              </w:rPr>
              <w:t>开户账号</w:t>
            </w:r>
          </w:p>
        </w:tc>
        <w:tc>
          <w:tcPr>
            <w:tcW w:w="3675" w:type="dxa"/>
            <w:vAlign w:val="center"/>
          </w:tcPr>
          <w:p w14:paraId="17E93D60">
            <w:pPr>
              <w:spacing w:line="360" w:lineRule="auto"/>
              <w:jc w:val="center"/>
              <w:rPr>
                <w:rFonts w:ascii="宋体" w:hAnsi="宋体"/>
                <w:bCs/>
                <w:sz w:val="24"/>
                <w:highlight w:val="none"/>
                <w:lang w:val="zh-CN"/>
              </w:rPr>
            </w:pPr>
          </w:p>
        </w:tc>
      </w:tr>
      <w:bookmarkEnd w:id="59"/>
      <w:bookmarkEnd w:id="60"/>
    </w:tbl>
    <w:p w14:paraId="45A7F6D1">
      <w:pPr>
        <w:spacing w:line="360" w:lineRule="auto"/>
        <w:ind w:left="5460" w:hanging="5460" w:hangingChars="2275"/>
        <w:jc w:val="center"/>
        <w:rPr>
          <w:rFonts w:ascii="宋体" w:hAnsi="宋体"/>
          <w:bCs/>
          <w:sz w:val="24"/>
          <w:highlight w:val="none"/>
          <w:lang w:val="zh-CN"/>
        </w:rPr>
      </w:pPr>
      <w:r>
        <w:rPr>
          <w:rFonts w:hint="eastAsia" w:ascii="宋体" w:hAnsi="宋体"/>
          <w:bCs/>
          <w:sz w:val="24"/>
          <w:highlight w:val="none"/>
          <w:lang w:val="zh-CN"/>
        </w:rPr>
        <w:t>投标人（</w:t>
      </w:r>
      <w:r>
        <w:rPr>
          <w:rFonts w:hint="eastAsia" w:ascii="宋体" w:hAnsi="宋体"/>
          <w:bCs/>
          <w:sz w:val="24"/>
          <w:highlight w:val="none"/>
        </w:rPr>
        <w:t>公</w:t>
      </w:r>
      <w:r>
        <w:rPr>
          <w:rFonts w:hint="eastAsia" w:ascii="宋体" w:hAnsi="宋体"/>
          <w:bCs/>
          <w:sz w:val="24"/>
          <w:highlight w:val="none"/>
          <w:lang w:val="zh-CN"/>
        </w:rPr>
        <w:t>章）：</w:t>
      </w:r>
    </w:p>
    <w:p w14:paraId="426C9CC2">
      <w:pPr>
        <w:spacing w:line="360" w:lineRule="auto"/>
        <w:ind w:left="5460" w:hanging="5460" w:hangingChars="2275"/>
        <w:jc w:val="center"/>
        <w:rPr>
          <w:rFonts w:ascii="宋体" w:hAnsi="宋体"/>
          <w:bCs/>
          <w:sz w:val="24"/>
          <w:highlight w:val="none"/>
          <w:lang w:val="zh-CN"/>
        </w:rPr>
      </w:pPr>
      <w:r>
        <w:rPr>
          <w:rFonts w:hint="eastAsia" w:ascii="宋体" w:hAnsi="宋体"/>
          <w:bCs/>
          <w:sz w:val="24"/>
          <w:highlight w:val="none"/>
          <w:lang w:val="zh-CN"/>
        </w:rPr>
        <w:t>投标人（签名）：</w:t>
      </w:r>
    </w:p>
    <w:p w14:paraId="3AD62712">
      <w:pPr>
        <w:spacing w:line="360" w:lineRule="auto"/>
        <w:rPr>
          <w:rFonts w:ascii="宋体" w:hAnsi="宋体"/>
          <w:bCs/>
          <w:sz w:val="24"/>
          <w:highlight w:val="none"/>
          <w:lang w:val="zh-CN"/>
        </w:rPr>
      </w:pPr>
    </w:p>
    <w:p w14:paraId="2B81B70D">
      <w:pPr>
        <w:rPr>
          <w:rFonts w:ascii="黑体" w:hAnsi="宋体" w:eastAsia="黑体"/>
          <w:bCs/>
          <w:sz w:val="28"/>
          <w:szCs w:val="28"/>
          <w:highlight w:val="none"/>
        </w:rPr>
      </w:pPr>
      <w:r>
        <w:rPr>
          <w:rFonts w:ascii="黑体" w:hAnsi="宋体" w:eastAsia="黑体"/>
          <w:bCs/>
          <w:sz w:val="24"/>
          <w:szCs w:val="24"/>
          <w:highlight w:val="none"/>
        </w:rPr>
        <w:br w:type="page"/>
      </w:r>
      <w:r>
        <w:rPr>
          <w:rFonts w:hint="eastAsia" w:ascii="黑体" w:hAnsi="宋体" w:eastAsia="黑体"/>
          <w:bCs/>
          <w:sz w:val="28"/>
          <w:szCs w:val="28"/>
          <w:highlight w:val="none"/>
        </w:rPr>
        <w:t>（二）报价文件：</w:t>
      </w:r>
    </w:p>
    <w:p w14:paraId="1BAC0181">
      <w:pPr>
        <w:ind w:firstLine="480" w:firstLineChars="200"/>
        <w:jc w:val="left"/>
        <w:rPr>
          <w:rFonts w:ascii="宋体" w:hAnsi="宋体"/>
          <w:sz w:val="28"/>
          <w:szCs w:val="28"/>
          <w:highlight w:val="none"/>
        </w:rPr>
      </w:pPr>
      <w:r>
        <w:rPr>
          <w:rFonts w:hint="eastAsia" w:ascii="宋体" w:hAnsi="宋体" w:cs="宋体"/>
          <w:bCs/>
          <w:sz w:val="24"/>
          <w:szCs w:val="24"/>
          <w:highlight w:val="none"/>
        </w:rPr>
        <w:t>1、</w:t>
      </w:r>
      <w:r>
        <w:rPr>
          <w:rFonts w:hint="eastAsia" w:ascii="黑体" w:hAnsi="宋体" w:eastAsia="黑体"/>
          <w:bCs/>
          <w:sz w:val="24"/>
          <w:szCs w:val="24"/>
          <w:highlight w:val="none"/>
        </w:rPr>
        <w:t>开标一览表（格式）：</w:t>
      </w:r>
      <w:bookmarkEnd w:id="57"/>
    </w:p>
    <w:p w14:paraId="07A9F441">
      <w:pPr>
        <w:spacing w:beforeLines="50" w:afterLines="50"/>
        <w:jc w:val="center"/>
        <w:rPr>
          <w:rFonts w:ascii="黑体" w:hAnsi="黑体" w:eastAsia="黑体"/>
          <w:sz w:val="28"/>
          <w:szCs w:val="28"/>
          <w:highlight w:val="none"/>
        </w:rPr>
      </w:pPr>
      <w:bookmarkStart w:id="61" w:name="_Toc32423"/>
      <w:r>
        <w:rPr>
          <w:rFonts w:hint="eastAsia" w:ascii="黑体" w:eastAsia="黑体"/>
          <w:bCs/>
          <w:sz w:val="28"/>
          <w:szCs w:val="28"/>
          <w:highlight w:val="none"/>
        </w:rPr>
        <w:t>开标一览表</w:t>
      </w:r>
      <w:bookmarkEnd w:id="61"/>
    </w:p>
    <w:p w14:paraId="204805ED">
      <w:pPr>
        <w:jc w:val="center"/>
        <w:rPr>
          <w:rFonts w:ascii="宋体" w:hAnsi="宋体"/>
          <w:sz w:val="28"/>
          <w:szCs w:val="28"/>
          <w:highlight w:val="none"/>
        </w:rPr>
      </w:pPr>
      <w:bookmarkStart w:id="62" w:name="OLE_LINK31"/>
      <w:r>
        <w:rPr>
          <w:rFonts w:hint="eastAsia" w:ascii="宋体" w:hAnsi="宋体"/>
          <w:sz w:val="28"/>
          <w:szCs w:val="28"/>
          <w:highlight w:val="none"/>
        </w:rPr>
        <w:t>项目编号：</w:t>
      </w:r>
      <w:r>
        <w:rPr>
          <w:rFonts w:hint="eastAsia" w:ascii="宋体" w:hAnsi="宋体"/>
          <w:sz w:val="28"/>
          <w:szCs w:val="28"/>
          <w:highlight w:val="none"/>
          <w:lang w:eastAsia="zh-CN"/>
        </w:rPr>
        <w:t>YXGQ2025333</w:t>
      </w:r>
      <w:r>
        <w:rPr>
          <w:rFonts w:hint="eastAsia" w:ascii="宋体" w:hAnsi="宋体"/>
          <w:sz w:val="28"/>
          <w:szCs w:val="28"/>
          <w:highlight w:val="none"/>
        </w:rPr>
        <w:t xml:space="preserve"> </w:t>
      </w:r>
    </w:p>
    <w:p w14:paraId="3E947B0A">
      <w:pPr>
        <w:ind w:left="1"/>
        <w:jc w:val="center"/>
        <w:rPr>
          <w:rFonts w:hint="eastAsia" w:ascii="宋体" w:hAnsi="宋体"/>
          <w:sz w:val="24"/>
          <w:szCs w:val="24"/>
          <w:highlight w:val="none"/>
        </w:rPr>
      </w:pPr>
      <w:r>
        <w:rPr>
          <w:rFonts w:hint="eastAsia" w:ascii="宋体" w:hAnsi="宋体"/>
          <w:sz w:val="24"/>
          <w:szCs w:val="24"/>
          <w:highlight w:val="none"/>
        </w:rPr>
        <w:t xml:space="preserve"> 投标人名称（盖章）：                                              单位：元</w:t>
      </w:r>
      <w:bookmarkEnd w:id="62"/>
    </w:p>
    <w:p w14:paraId="026C8717">
      <w:pPr>
        <w:pStyle w:val="26"/>
        <w:rPr>
          <w:rFonts w:ascii="宋体" w:hAnsi="宋体"/>
          <w:bCs/>
          <w:sz w:val="24"/>
          <w:highlight w:val="none"/>
          <w:lang w:val="zh-CN"/>
        </w:rPr>
      </w:pPr>
      <w:bookmarkStart w:id="63" w:name="OLE_LINK32"/>
    </w:p>
    <w:tbl>
      <w:tblPr>
        <w:tblStyle w:val="27"/>
        <w:tblW w:w="506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0"/>
        <w:gridCol w:w="945"/>
        <w:gridCol w:w="1812"/>
        <w:gridCol w:w="757"/>
        <w:gridCol w:w="750"/>
        <w:gridCol w:w="1077"/>
        <w:gridCol w:w="696"/>
        <w:gridCol w:w="696"/>
        <w:gridCol w:w="866"/>
        <w:gridCol w:w="881"/>
        <w:gridCol w:w="884"/>
      </w:tblGrid>
      <w:tr w14:paraId="37127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530BB">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序号</w:t>
            </w:r>
          </w:p>
        </w:tc>
        <w:tc>
          <w:tcPr>
            <w:tcW w:w="473" w:type="pct"/>
            <w:tcBorders>
              <w:top w:val="single" w:color="000000" w:sz="4" w:space="0"/>
              <w:left w:val="single" w:color="000000" w:sz="4" w:space="0"/>
              <w:bottom w:val="single" w:color="auto" w:sz="4" w:space="0"/>
              <w:right w:val="single" w:color="000000" w:sz="4" w:space="0"/>
            </w:tcBorders>
            <w:shd w:val="clear" w:color="auto" w:fill="auto"/>
            <w:vAlign w:val="center"/>
          </w:tcPr>
          <w:p w14:paraId="61FDF9BD">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设备名称</w:t>
            </w:r>
          </w:p>
        </w:tc>
        <w:tc>
          <w:tcPr>
            <w:tcW w:w="908" w:type="pct"/>
            <w:tcBorders>
              <w:top w:val="single" w:color="000000" w:sz="4" w:space="0"/>
              <w:left w:val="single" w:color="000000" w:sz="4" w:space="0"/>
              <w:bottom w:val="single" w:color="auto" w:sz="4" w:space="0"/>
              <w:right w:val="single" w:color="000000" w:sz="4" w:space="0"/>
            </w:tcBorders>
            <w:shd w:val="clear" w:color="auto" w:fill="auto"/>
            <w:vAlign w:val="center"/>
          </w:tcPr>
          <w:p w14:paraId="60DE4ED6">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型号规格</w:t>
            </w:r>
          </w:p>
        </w:tc>
        <w:tc>
          <w:tcPr>
            <w:tcW w:w="379" w:type="pct"/>
            <w:tcBorders>
              <w:top w:val="single" w:color="000000" w:sz="4" w:space="0"/>
              <w:left w:val="single" w:color="000000" w:sz="4" w:space="0"/>
              <w:bottom w:val="single" w:color="auto" w:sz="4" w:space="0"/>
              <w:right w:val="single" w:color="000000" w:sz="4" w:space="0"/>
            </w:tcBorders>
            <w:shd w:val="clear" w:color="auto" w:fill="auto"/>
            <w:vAlign w:val="center"/>
          </w:tcPr>
          <w:p w14:paraId="34CB0F20">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单位</w:t>
            </w:r>
          </w:p>
        </w:tc>
        <w:tc>
          <w:tcPr>
            <w:tcW w:w="375" w:type="pct"/>
            <w:tcBorders>
              <w:top w:val="single" w:color="000000" w:sz="4" w:space="0"/>
              <w:left w:val="single" w:color="000000" w:sz="4" w:space="0"/>
              <w:bottom w:val="single" w:color="auto" w:sz="4" w:space="0"/>
              <w:right w:val="single" w:color="000000" w:sz="4" w:space="0"/>
            </w:tcBorders>
            <w:shd w:val="clear" w:color="auto" w:fill="auto"/>
            <w:vAlign w:val="center"/>
          </w:tcPr>
          <w:p w14:paraId="0A0DDC82">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数量</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FF8C5">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lang w:val="en-US" w:eastAsia="zh-CN"/>
              </w:rPr>
              <w:t>备注</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B6A28">
            <w:pPr>
              <w:keepNext w:val="0"/>
              <w:keepLines w:val="0"/>
              <w:widowControl/>
              <w:suppressLineNumbers w:val="0"/>
              <w:jc w:val="both"/>
              <w:textAlignment w:val="bottom"/>
              <w:rPr>
                <w:rFonts w:hint="eastAsia" w:ascii="宋体" w:hAnsi="宋体" w:eastAsia="宋体" w:cs="Times New Roman"/>
                <w:b w:val="0"/>
                <w:bCs w:val="0"/>
                <w:sz w:val="20"/>
                <w:szCs w:val="20"/>
                <w:highlight w:val="none"/>
                <w:lang w:val="en-US" w:eastAsia="zh-CN"/>
              </w:rPr>
            </w:pPr>
            <w:r>
              <w:rPr>
                <w:rFonts w:hint="eastAsia" w:ascii="宋体" w:hAnsi="宋体" w:eastAsia="宋体" w:cs="宋体"/>
                <w:b w:val="0"/>
                <w:bCs w:val="0"/>
                <w:i w:val="0"/>
                <w:iCs w:val="0"/>
                <w:color w:val="000000"/>
                <w:kern w:val="0"/>
                <w:sz w:val="24"/>
                <w:szCs w:val="24"/>
                <w:u w:val="none"/>
                <w:lang w:val="en-US" w:eastAsia="zh-CN" w:bidi="ar"/>
              </w:rPr>
              <w:t>单套最高限价（万元）</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0A3C1">
            <w:pPr>
              <w:jc w:val="center"/>
              <w:rPr>
                <w:rFonts w:hint="eastAsia" w:ascii="宋体" w:hAnsi="宋体" w:eastAsia="宋体" w:cs="Times New Roman"/>
                <w:b w:val="0"/>
                <w:bCs w:val="0"/>
                <w:sz w:val="20"/>
                <w:szCs w:val="20"/>
                <w:highlight w:val="none"/>
              </w:rPr>
            </w:pPr>
            <w:r>
              <w:rPr>
                <w:rFonts w:hint="eastAsia" w:ascii="宋体" w:hAnsi="宋体" w:eastAsia="宋体" w:cs="Times New Roman"/>
                <w:b w:val="0"/>
                <w:bCs w:val="0"/>
                <w:sz w:val="20"/>
                <w:szCs w:val="20"/>
                <w:highlight w:val="none"/>
              </w:rPr>
              <w:t>含税单价</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AFF0">
            <w:pPr>
              <w:jc w:val="center"/>
              <w:rPr>
                <w:rFonts w:hint="eastAsia" w:ascii="宋体" w:hAnsi="宋体" w:eastAsia="宋体" w:cs="Times New Roman"/>
                <w:b w:val="0"/>
                <w:bCs w:val="0"/>
                <w:sz w:val="20"/>
                <w:szCs w:val="20"/>
                <w:highlight w:val="none"/>
                <w:lang w:val="en-US" w:eastAsia="zh-CN"/>
              </w:rPr>
            </w:pPr>
            <w:r>
              <w:rPr>
                <w:rFonts w:hint="eastAsia" w:ascii="宋体" w:hAnsi="宋体" w:eastAsia="宋体" w:cs="Times New Roman"/>
                <w:b w:val="0"/>
                <w:bCs w:val="0"/>
                <w:sz w:val="20"/>
                <w:szCs w:val="20"/>
                <w:highlight w:val="none"/>
              </w:rPr>
              <w:t>含税分项费用报价</w:t>
            </w: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7C24">
            <w:pPr>
              <w:jc w:val="center"/>
              <w:rPr>
                <w:rFonts w:hint="eastAsia" w:ascii="宋体" w:hAnsi="宋体" w:eastAsia="宋体" w:cs="Times New Roman"/>
                <w:b w:val="0"/>
                <w:bCs w:val="0"/>
                <w:sz w:val="20"/>
                <w:szCs w:val="20"/>
                <w:highlight w:val="none"/>
                <w:lang w:val="en-US" w:eastAsia="zh-CN"/>
              </w:rPr>
            </w:pPr>
            <w:r>
              <w:rPr>
                <w:rFonts w:hint="eastAsia" w:ascii="宋体" w:hAnsi="宋体" w:eastAsia="宋体" w:cs="Times New Roman"/>
                <w:b w:val="0"/>
                <w:bCs w:val="0"/>
                <w:sz w:val="20"/>
                <w:szCs w:val="20"/>
                <w:highlight w:val="none"/>
              </w:rPr>
              <w:t>不含税分项费用报价</w:t>
            </w: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D39D0">
            <w:pPr>
              <w:jc w:val="center"/>
              <w:rPr>
                <w:rFonts w:hint="eastAsia" w:ascii="宋体" w:hAnsi="宋体" w:eastAsia="宋体" w:cs="Times New Roman"/>
                <w:b w:val="0"/>
                <w:bCs w:val="0"/>
                <w:sz w:val="20"/>
                <w:szCs w:val="20"/>
                <w:highlight w:val="none"/>
                <w:lang w:val="en-US" w:eastAsia="zh-CN"/>
              </w:rPr>
            </w:pPr>
            <w:r>
              <w:rPr>
                <w:rFonts w:hint="eastAsia" w:ascii="宋体" w:hAnsi="宋体" w:eastAsia="宋体" w:cs="Times New Roman"/>
                <w:b w:val="0"/>
                <w:bCs w:val="0"/>
                <w:sz w:val="20"/>
                <w:szCs w:val="20"/>
                <w:highlight w:val="none"/>
              </w:rPr>
              <w:t>增值税税额</w:t>
            </w:r>
          </w:p>
        </w:tc>
      </w:tr>
      <w:tr w14:paraId="69913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305" w:type="pct"/>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14:paraId="13A9AD8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5C49D8E5">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无负压泵设备</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2F7E00A0">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Q=23m³/h，H=43m，N=5.5KW</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5AF0D2EE">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套</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94D82CD">
            <w:pPr>
              <w:jc w:val="both"/>
              <w:rPr>
                <w:rFonts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3</w:t>
            </w:r>
          </w:p>
        </w:tc>
        <w:tc>
          <w:tcPr>
            <w:tcW w:w="539" w:type="pct"/>
            <w:tcBorders>
              <w:top w:val="single" w:color="000000" w:sz="4" w:space="0"/>
              <w:left w:val="single" w:color="auto" w:sz="4" w:space="0"/>
              <w:bottom w:val="single" w:color="000000" w:sz="4" w:space="0"/>
              <w:right w:val="single" w:color="000000" w:sz="4" w:space="0"/>
            </w:tcBorders>
            <w:shd w:val="clear" w:color="auto" w:fill="auto"/>
            <w:vAlign w:val="center"/>
          </w:tcPr>
          <w:p w14:paraId="7D271CE4">
            <w:pPr>
              <w:jc w:val="both"/>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1"/>
                <w:szCs w:val="21"/>
                <w:u w:val="none"/>
                <w:lang w:val="en-US" w:eastAsia="zh-CN"/>
              </w:rPr>
              <w:t>二用一备</w:t>
            </w:r>
          </w:p>
        </w:tc>
        <w:tc>
          <w:tcPr>
            <w:tcW w:w="348" w:type="pct"/>
            <w:vMerge w:val="restart"/>
            <w:tcBorders>
              <w:top w:val="single" w:color="000000" w:sz="4" w:space="0"/>
              <w:left w:val="single" w:color="000000" w:sz="4" w:space="0"/>
              <w:right w:val="single" w:color="000000" w:sz="4" w:space="0"/>
            </w:tcBorders>
            <w:shd w:val="clear" w:color="auto" w:fill="auto"/>
            <w:vAlign w:val="center"/>
          </w:tcPr>
          <w:p w14:paraId="7043CD55">
            <w:pPr>
              <w:jc w:val="both"/>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sz w:val="21"/>
                <w:szCs w:val="21"/>
                <w:u w:val="none"/>
                <w:lang w:val="en-US" w:eastAsia="zh-CN"/>
              </w:rPr>
              <w:t>26.5</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5F00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61150">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3F39A">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7D23D">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r>
      <w:tr w14:paraId="4EB0F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305"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1E932F7B">
            <w:pPr>
              <w:jc w:val="both"/>
              <w:rPr>
                <w:rFonts w:hint="eastAsia" w:ascii="宋体" w:hAnsi="宋体" w:eastAsia="宋体" w:cs="宋体"/>
                <w:i w:val="0"/>
                <w:iCs w:val="0"/>
                <w:color w:val="000000"/>
                <w:sz w:val="22"/>
                <w:szCs w:val="22"/>
                <w:u w:val="none"/>
              </w:rPr>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21D66502">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流量仪</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242F6706">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DN100（1.6MPa）</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67F8628C">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D623E92">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1</w:t>
            </w:r>
          </w:p>
        </w:tc>
        <w:tc>
          <w:tcPr>
            <w:tcW w:w="539" w:type="pct"/>
            <w:tcBorders>
              <w:top w:val="single" w:color="000000" w:sz="4" w:space="0"/>
              <w:left w:val="single" w:color="auto" w:sz="4" w:space="0"/>
              <w:bottom w:val="single" w:color="000000" w:sz="4" w:space="0"/>
              <w:right w:val="single" w:color="000000" w:sz="4" w:space="0"/>
            </w:tcBorders>
            <w:shd w:val="clear" w:color="auto" w:fill="auto"/>
            <w:vAlign w:val="center"/>
          </w:tcPr>
          <w:p w14:paraId="4D63C363">
            <w:pPr>
              <w:jc w:val="both"/>
              <w:rPr>
                <w:rFonts w:hint="eastAsia" w:ascii="宋体" w:hAnsi="宋体" w:eastAsia="宋体" w:cs="宋体"/>
                <w:i w:val="0"/>
                <w:iCs w:val="0"/>
                <w:color w:val="000000"/>
                <w:sz w:val="24"/>
                <w:szCs w:val="24"/>
                <w:u w:val="none"/>
              </w:rPr>
            </w:pPr>
          </w:p>
        </w:tc>
        <w:tc>
          <w:tcPr>
            <w:tcW w:w="348" w:type="pct"/>
            <w:vMerge w:val="continue"/>
            <w:tcBorders>
              <w:left w:val="single" w:color="000000" w:sz="4" w:space="0"/>
              <w:right w:val="single" w:color="000000" w:sz="4" w:space="0"/>
            </w:tcBorders>
            <w:shd w:val="clear" w:color="auto" w:fill="auto"/>
            <w:vAlign w:val="center"/>
          </w:tcPr>
          <w:p w14:paraId="68D8F5D3">
            <w:pPr>
              <w:jc w:val="both"/>
              <w:rPr>
                <w:rFonts w:hint="eastAsia" w:ascii="宋体" w:hAnsi="宋体" w:eastAsia="宋体" w:cs="宋体"/>
                <w:i w:val="0"/>
                <w:iCs w:val="0"/>
                <w:color w:val="000000"/>
                <w:sz w:val="24"/>
                <w:szCs w:val="24"/>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A81C9">
            <w:pPr>
              <w:jc w:val="both"/>
              <w:rPr>
                <w:rFonts w:hint="eastAsia" w:ascii="宋体" w:hAnsi="宋体" w:eastAsia="宋体" w:cs="宋体"/>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E2B77">
            <w:pPr>
              <w:jc w:val="both"/>
              <w:rPr>
                <w:rFonts w:hint="eastAsia" w:ascii="宋体" w:hAnsi="宋体" w:eastAsia="宋体" w:cs="宋体"/>
                <w:i w:val="0"/>
                <w:iCs w:val="0"/>
                <w:color w:val="000000"/>
                <w:sz w:val="22"/>
                <w:szCs w:val="22"/>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32EA9">
            <w:pPr>
              <w:jc w:val="both"/>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DA790">
            <w:pPr>
              <w:jc w:val="both"/>
              <w:rPr>
                <w:rFonts w:hint="eastAsia" w:ascii="宋体" w:hAnsi="宋体" w:eastAsia="宋体" w:cs="宋体"/>
                <w:i w:val="0"/>
                <w:iCs w:val="0"/>
                <w:color w:val="000000"/>
                <w:sz w:val="22"/>
                <w:szCs w:val="22"/>
                <w:u w:val="none"/>
              </w:rPr>
            </w:pPr>
          </w:p>
        </w:tc>
      </w:tr>
      <w:tr w14:paraId="79B9D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305"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2D060C45">
            <w:pPr>
              <w:jc w:val="both"/>
              <w:rPr>
                <w:rFonts w:hint="eastAsia" w:ascii="宋体" w:hAnsi="宋体" w:eastAsia="宋体" w:cs="宋体"/>
                <w:i w:val="0"/>
                <w:iCs w:val="0"/>
                <w:color w:val="000000"/>
                <w:sz w:val="22"/>
                <w:szCs w:val="22"/>
                <w:u w:val="none"/>
              </w:rPr>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352AEC57">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电动蝶阀</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10C09244">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DN150</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43B42E5B">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3733EAA">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1</w:t>
            </w:r>
          </w:p>
        </w:tc>
        <w:tc>
          <w:tcPr>
            <w:tcW w:w="539" w:type="pct"/>
            <w:tcBorders>
              <w:top w:val="single" w:color="000000" w:sz="4" w:space="0"/>
              <w:left w:val="single" w:color="auto" w:sz="4" w:space="0"/>
              <w:bottom w:val="single" w:color="000000" w:sz="4" w:space="0"/>
              <w:right w:val="single" w:color="000000" w:sz="4" w:space="0"/>
            </w:tcBorders>
            <w:shd w:val="clear" w:color="auto" w:fill="auto"/>
            <w:vAlign w:val="center"/>
          </w:tcPr>
          <w:p w14:paraId="48693B66">
            <w:pPr>
              <w:jc w:val="both"/>
              <w:rPr>
                <w:rFonts w:hint="eastAsia" w:ascii="宋体" w:hAnsi="宋体" w:eastAsia="宋体" w:cs="宋体"/>
                <w:i w:val="0"/>
                <w:iCs w:val="0"/>
                <w:color w:val="000000"/>
                <w:sz w:val="24"/>
                <w:szCs w:val="24"/>
                <w:u w:val="none"/>
              </w:rPr>
            </w:pPr>
          </w:p>
        </w:tc>
        <w:tc>
          <w:tcPr>
            <w:tcW w:w="348" w:type="pct"/>
            <w:vMerge w:val="continue"/>
            <w:tcBorders>
              <w:left w:val="single" w:color="000000" w:sz="4" w:space="0"/>
              <w:right w:val="single" w:color="000000" w:sz="4" w:space="0"/>
            </w:tcBorders>
            <w:shd w:val="clear" w:color="auto" w:fill="auto"/>
            <w:vAlign w:val="center"/>
          </w:tcPr>
          <w:p w14:paraId="3BB2573D">
            <w:pPr>
              <w:jc w:val="both"/>
              <w:rPr>
                <w:rFonts w:hint="eastAsia" w:ascii="宋体" w:hAnsi="宋体" w:eastAsia="宋体" w:cs="宋体"/>
                <w:i w:val="0"/>
                <w:iCs w:val="0"/>
                <w:color w:val="000000"/>
                <w:sz w:val="24"/>
                <w:szCs w:val="24"/>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4D1B3">
            <w:pPr>
              <w:jc w:val="both"/>
              <w:rPr>
                <w:rFonts w:hint="eastAsia" w:ascii="宋体" w:hAnsi="宋体" w:eastAsia="宋体" w:cs="宋体"/>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7ED29">
            <w:pPr>
              <w:jc w:val="both"/>
              <w:rPr>
                <w:rFonts w:hint="eastAsia" w:ascii="宋体" w:hAnsi="宋体" w:eastAsia="宋体" w:cs="宋体"/>
                <w:i w:val="0"/>
                <w:iCs w:val="0"/>
                <w:color w:val="000000"/>
                <w:sz w:val="22"/>
                <w:szCs w:val="22"/>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64791">
            <w:pPr>
              <w:jc w:val="both"/>
              <w:rPr>
                <w:rFonts w:hint="eastAsia" w:ascii="宋体" w:hAnsi="宋体" w:eastAsia="宋体" w:cs="宋体"/>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829D5">
            <w:pPr>
              <w:jc w:val="both"/>
              <w:rPr>
                <w:rFonts w:hint="eastAsia" w:ascii="宋体" w:hAnsi="宋体" w:eastAsia="宋体" w:cs="宋体"/>
                <w:i w:val="0"/>
                <w:iCs w:val="0"/>
                <w:color w:val="000000"/>
                <w:sz w:val="22"/>
                <w:szCs w:val="22"/>
                <w:u w:val="none"/>
              </w:rPr>
            </w:pPr>
          </w:p>
        </w:tc>
      </w:tr>
      <w:tr w14:paraId="41502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305"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651CC421">
            <w:pPr>
              <w:keepNext w:val="0"/>
              <w:keepLines w:val="0"/>
              <w:widowControl/>
              <w:suppressLineNumbers w:val="0"/>
              <w:jc w:val="both"/>
              <w:textAlignment w:val="bottom"/>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2</w:t>
            </w: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6D2833BC">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无负压泵设备</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6AA2A22E">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Q=20m³/h，H=60m，N=5.5KW</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694B824A">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套</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E8D47FC">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3</w:t>
            </w:r>
          </w:p>
        </w:tc>
        <w:tc>
          <w:tcPr>
            <w:tcW w:w="539" w:type="pct"/>
            <w:tcBorders>
              <w:top w:val="single" w:color="000000" w:sz="4" w:space="0"/>
              <w:left w:val="single" w:color="auto" w:sz="4" w:space="0"/>
              <w:bottom w:val="single" w:color="000000" w:sz="4" w:space="0"/>
              <w:right w:val="single" w:color="000000" w:sz="4" w:space="0"/>
            </w:tcBorders>
            <w:shd w:val="clear" w:color="auto" w:fill="auto"/>
            <w:vAlign w:val="center"/>
          </w:tcPr>
          <w:p w14:paraId="2565B729">
            <w:pPr>
              <w:jc w:val="both"/>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1"/>
                <w:szCs w:val="21"/>
                <w:u w:val="none"/>
                <w:lang w:val="en-US" w:eastAsia="zh-CN"/>
              </w:rPr>
              <w:t>二用一备</w:t>
            </w:r>
          </w:p>
        </w:tc>
        <w:tc>
          <w:tcPr>
            <w:tcW w:w="348" w:type="pct"/>
            <w:vMerge w:val="restart"/>
            <w:tcBorders>
              <w:top w:val="single" w:color="000000" w:sz="4" w:space="0"/>
              <w:left w:val="single" w:color="000000" w:sz="4" w:space="0"/>
              <w:right w:val="single" w:color="000000" w:sz="4" w:space="0"/>
            </w:tcBorders>
            <w:shd w:val="clear" w:color="auto" w:fill="auto"/>
            <w:noWrap/>
            <w:vAlign w:val="center"/>
          </w:tcPr>
          <w:p w14:paraId="203BC09C">
            <w:pPr>
              <w:jc w:val="both"/>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sz w:val="21"/>
                <w:szCs w:val="21"/>
                <w:u w:val="none"/>
                <w:lang w:val="en-US" w:eastAsia="zh-CN"/>
              </w:rPr>
              <w:t>26</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502BD">
            <w:pPr>
              <w:keepNext w:val="0"/>
              <w:keepLines w:val="0"/>
              <w:widowControl/>
              <w:suppressLineNumbers w:val="0"/>
              <w:jc w:val="both"/>
              <w:textAlignment w:val="bottom"/>
              <w:rPr>
                <w:rFonts w:hint="default" w:ascii="Tahoma" w:hAnsi="Tahoma" w:eastAsia="Tahoma" w:cs="Tahoma"/>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8E93E">
            <w:pPr>
              <w:keepNext w:val="0"/>
              <w:keepLines w:val="0"/>
              <w:widowControl/>
              <w:suppressLineNumbers w:val="0"/>
              <w:jc w:val="both"/>
              <w:textAlignment w:val="bottom"/>
              <w:rPr>
                <w:rFonts w:hint="default" w:ascii="Tahoma" w:hAnsi="Tahoma" w:eastAsia="Tahoma" w:cs="Tahoma"/>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3EBA">
            <w:pPr>
              <w:keepNext w:val="0"/>
              <w:keepLines w:val="0"/>
              <w:widowControl/>
              <w:suppressLineNumbers w:val="0"/>
              <w:jc w:val="both"/>
              <w:textAlignment w:val="bottom"/>
              <w:rPr>
                <w:rFonts w:hint="default" w:ascii="Tahoma" w:hAnsi="Tahoma" w:eastAsia="Tahoma" w:cs="Tahoma"/>
                <w:i w:val="0"/>
                <w:iCs w:val="0"/>
                <w:color w:val="000000"/>
                <w:kern w:val="0"/>
                <w:sz w:val="22"/>
                <w:szCs w:val="22"/>
                <w:u w:val="none"/>
                <w:lang w:val="en-US" w:eastAsia="zh-CN" w:bidi="ar"/>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B4892">
            <w:pPr>
              <w:keepNext w:val="0"/>
              <w:keepLines w:val="0"/>
              <w:widowControl/>
              <w:suppressLineNumbers w:val="0"/>
              <w:jc w:val="both"/>
              <w:textAlignment w:val="bottom"/>
              <w:rPr>
                <w:rFonts w:hint="default" w:ascii="Tahoma" w:hAnsi="Tahoma" w:eastAsia="Tahoma" w:cs="Tahoma"/>
                <w:i w:val="0"/>
                <w:iCs w:val="0"/>
                <w:color w:val="000000"/>
                <w:kern w:val="0"/>
                <w:sz w:val="22"/>
                <w:szCs w:val="22"/>
                <w:u w:val="none"/>
                <w:lang w:val="en-US" w:eastAsia="zh-CN" w:bidi="ar"/>
              </w:rPr>
            </w:pPr>
          </w:p>
        </w:tc>
      </w:tr>
      <w:tr w14:paraId="53F0C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305"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AB775DF">
            <w:pPr>
              <w:jc w:val="both"/>
              <w:rPr>
                <w:rFonts w:hint="default" w:ascii="Tahoma" w:hAnsi="Tahoma" w:eastAsia="Tahoma" w:cs="Tahoma"/>
                <w:i w:val="0"/>
                <w:iCs w:val="0"/>
                <w:color w:val="000000"/>
                <w:sz w:val="22"/>
                <w:szCs w:val="22"/>
                <w:u w:val="none"/>
              </w:rPr>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520B2268">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流量仪</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12728EEF">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DN100（1.6MPa）</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142A5F41">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A7546AE">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1</w:t>
            </w:r>
          </w:p>
        </w:tc>
        <w:tc>
          <w:tcPr>
            <w:tcW w:w="539" w:type="pct"/>
            <w:tcBorders>
              <w:top w:val="single" w:color="000000" w:sz="4" w:space="0"/>
              <w:left w:val="single" w:color="auto" w:sz="4" w:space="0"/>
              <w:bottom w:val="single" w:color="000000" w:sz="4" w:space="0"/>
              <w:right w:val="single" w:color="000000" w:sz="4" w:space="0"/>
            </w:tcBorders>
            <w:shd w:val="clear" w:color="auto" w:fill="auto"/>
            <w:vAlign w:val="center"/>
          </w:tcPr>
          <w:p w14:paraId="2F291054">
            <w:pPr>
              <w:jc w:val="both"/>
              <w:rPr>
                <w:rFonts w:hint="eastAsia" w:ascii="宋体" w:hAnsi="宋体" w:eastAsia="宋体" w:cs="宋体"/>
                <w:i w:val="0"/>
                <w:iCs w:val="0"/>
                <w:color w:val="000000"/>
                <w:sz w:val="24"/>
                <w:szCs w:val="24"/>
                <w:u w:val="none"/>
              </w:rPr>
            </w:pPr>
          </w:p>
        </w:tc>
        <w:tc>
          <w:tcPr>
            <w:tcW w:w="348" w:type="pct"/>
            <w:vMerge w:val="continue"/>
            <w:tcBorders>
              <w:left w:val="single" w:color="000000" w:sz="4" w:space="0"/>
              <w:right w:val="single" w:color="000000" w:sz="4" w:space="0"/>
            </w:tcBorders>
            <w:shd w:val="clear" w:color="auto" w:fill="auto"/>
            <w:noWrap/>
            <w:vAlign w:val="center"/>
          </w:tcPr>
          <w:p w14:paraId="19F1A536">
            <w:pPr>
              <w:jc w:val="both"/>
              <w:rPr>
                <w:rFonts w:hint="eastAsia" w:ascii="宋体" w:hAnsi="宋体" w:eastAsia="宋体" w:cs="宋体"/>
                <w:i w:val="0"/>
                <w:iCs w:val="0"/>
                <w:color w:val="000000"/>
                <w:sz w:val="24"/>
                <w:szCs w:val="24"/>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D0F8">
            <w:pPr>
              <w:jc w:val="both"/>
              <w:rPr>
                <w:rFonts w:hint="default" w:ascii="Tahoma" w:hAnsi="Tahoma" w:eastAsia="Tahoma" w:cs="Tahoma"/>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8F6B">
            <w:pPr>
              <w:jc w:val="both"/>
              <w:rPr>
                <w:rFonts w:hint="default" w:ascii="Tahoma" w:hAnsi="Tahoma" w:eastAsia="Tahoma" w:cs="Tahoma"/>
                <w:i w:val="0"/>
                <w:iCs w:val="0"/>
                <w:color w:val="000000"/>
                <w:sz w:val="22"/>
                <w:szCs w:val="22"/>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FF84">
            <w:pPr>
              <w:jc w:val="both"/>
              <w:rPr>
                <w:rFonts w:hint="default" w:ascii="Tahoma" w:hAnsi="Tahoma" w:eastAsia="Tahoma" w:cs="Tahoma"/>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810C8">
            <w:pPr>
              <w:jc w:val="both"/>
              <w:rPr>
                <w:rFonts w:hint="default" w:ascii="Tahoma" w:hAnsi="Tahoma" w:eastAsia="Tahoma" w:cs="Tahoma"/>
                <w:i w:val="0"/>
                <w:iCs w:val="0"/>
                <w:color w:val="000000"/>
                <w:sz w:val="22"/>
                <w:szCs w:val="22"/>
                <w:u w:val="none"/>
              </w:rPr>
            </w:pPr>
          </w:p>
        </w:tc>
      </w:tr>
      <w:tr w14:paraId="57DBE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305"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4AA3849">
            <w:pPr>
              <w:jc w:val="both"/>
              <w:rPr>
                <w:rFonts w:hint="default" w:ascii="Tahoma" w:hAnsi="Tahoma" w:eastAsia="Tahoma" w:cs="Tahoma"/>
                <w:i w:val="0"/>
                <w:iCs w:val="0"/>
                <w:color w:val="000000"/>
                <w:sz w:val="22"/>
                <w:szCs w:val="22"/>
                <w:u w:val="none"/>
              </w:rPr>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40FDD0C8">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电动蝶阀</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2B323D01">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DN150</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3578C0E2">
            <w:pPr>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3519BD4">
            <w:pPr>
              <w:jc w:val="both"/>
              <w:rPr>
                <w:rFonts w:hint="default" w:ascii="Calibri" w:hAnsi="Calibri" w:eastAsia="Tahoma" w:cs="Calibri"/>
                <w:i w:val="0"/>
                <w:iCs w:val="0"/>
                <w:color w:val="000000"/>
                <w:sz w:val="21"/>
                <w:szCs w:val="21"/>
                <w:u w:val="none"/>
              </w:rPr>
            </w:pPr>
            <w:r>
              <w:rPr>
                <w:rFonts w:hint="eastAsia" w:ascii="宋体" w:hAnsi="宋体" w:eastAsia="宋体" w:cs="宋体"/>
                <w:i w:val="0"/>
                <w:iCs w:val="0"/>
                <w:color w:val="000000"/>
                <w:sz w:val="21"/>
                <w:szCs w:val="21"/>
                <w:u w:val="none"/>
                <w:lang w:val="en-US" w:eastAsia="zh-CN"/>
              </w:rPr>
              <w:t>1</w:t>
            </w:r>
          </w:p>
        </w:tc>
        <w:tc>
          <w:tcPr>
            <w:tcW w:w="539" w:type="pct"/>
            <w:tcBorders>
              <w:top w:val="single" w:color="000000" w:sz="4" w:space="0"/>
              <w:left w:val="single" w:color="auto" w:sz="4" w:space="0"/>
              <w:bottom w:val="single" w:color="auto" w:sz="4" w:space="0"/>
              <w:right w:val="single" w:color="000000" w:sz="4" w:space="0"/>
            </w:tcBorders>
            <w:shd w:val="clear" w:color="auto" w:fill="auto"/>
            <w:vAlign w:val="center"/>
          </w:tcPr>
          <w:p w14:paraId="34E0BA01">
            <w:pPr>
              <w:jc w:val="both"/>
              <w:rPr>
                <w:rFonts w:hint="eastAsia" w:ascii="宋体" w:hAnsi="宋体" w:eastAsia="宋体" w:cs="宋体"/>
                <w:i w:val="0"/>
                <w:iCs w:val="0"/>
                <w:color w:val="000000"/>
                <w:sz w:val="24"/>
                <w:szCs w:val="24"/>
                <w:u w:val="none"/>
              </w:rPr>
            </w:pPr>
          </w:p>
        </w:tc>
        <w:tc>
          <w:tcPr>
            <w:tcW w:w="348" w:type="pct"/>
            <w:vMerge w:val="continue"/>
            <w:tcBorders>
              <w:left w:val="single" w:color="000000" w:sz="4" w:space="0"/>
              <w:right w:val="single" w:color="000000" w:sz="4" w:space="0"/>
            </w:tcBorders>
            <w:shd w:val="clear" w:color="auto" w:fill="auto"/>
            <w:noWrap/>
            <w:vAlign w:val="center"/>
          </w:tcPr>
          <w:p w14:paraId="6179F041">
            <w:pPr>
              <w:jc w:val="both"/>
              <w:rPr>
                <w:rFonts w:hint="eastAsia" w:ascii="宋体" w:hAnsi="宋体" w:eastAsia="宋体" w:cs="宋体"/>
                <w:i w:val="0"/>
                <w:iCs w:val="0"/>
                <w:color w:val="000000"/>
                <w:sz w:val="24"/>
                <w:szCs w:val="24"/>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79D05">
            <w:pPr>
              <w:jc w:val="both"/>
              <w:rPr>
                <w:rFonts w:hint="default" w:ascii="Tahoma" w:hAnsi="Tahoma" w:eastAsia="Tahoma" w:cs="Tahoma"/>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917B5">
            <w:pPr>
              <w:jc w:val="both"/>
              <w:rPr>
                <w:rFonts w:hint="default" w:ascii="Tahoma" w:hAnsi="Tahoma" w:eastAsia="Tahoma" w:cs="Tahoma"/>
                <w:i w:val="0"/>
                <w:iCs w:val="0"/>
                <w:color w:val="000000"/>
                <w:sz w:val="22"/>
                <w:szCs w:val="22"/>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D0AC3">
            <w:pPr>
              <w:jc w:val="both"/>
              <w:rPr>
                <w:rFonts w:hint="default" w:ascii="Tahoma" w:hAnsi="Tahoma" w:eastAsia="Tahoma" w:cs="Tahoma"/>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802E8">
            <w:pPr>
              <w:jc w:val="both"/>
              <w:rPr>
                <w:rFonts w:hint="default" w:ascii="Tahoma" w:hAnsi="Tahoma" w:eastAsia="Tahoma" w:cs="Tahoma"/>
                <w:i w:val="0"/>
                <w:iCs w:val="0"/>
                <w:color w:val="000000"/>
                <w:sz w:val="22"/>
                <w:szCs w:val="22"/>
                <w:u w:val="none"/>
              </w:rPr>
            </w:pPr>
          </w:p>
        </w:tc>
      </w:tr>
      <w:tr w14:paraId="1371D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5" w:hRule="atLeast"/>
        </w:trPr>
        <w:tc>
          <w:tcPr>
            <w:tcW w:w="305" w:type="pct"/>
            <w:vMerge w:val="restart"/>
            <w:tcBorders>
              <w:top w:val="single" w:color="000000" w:sz="4" w:space="0"/>
              <w:left w:val="single" w:color="000000" w:sz="4" w:space="0"/>
              <w:right w:val="single" w:color="auto" w:sz="4" w:space="0"/>
            </w:tcBorders>
            <w:shd w:val="clear" w:color="auto" w:fill="auto"/>
            <w:noWrap/>
            <w:vAlign w:val="center"/>
          </w:tcPr>
          <w:p w14:paraId="2A2065BA">
            <w:pPr>
              <w:jc w:val="both"/>
              <w:rPr>
                <w:rFonts w:hint="eastAsia"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3</w:t>
            </w: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29DF080F">
            <w:pPr>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户外一体化无负压设备</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07EF3091">
            <w:pPr>
              <w:jc w:val="both"/>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Q=10m³/h，H=20m，N=1.1KW</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1A64D726">
            <w:pPr>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套</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4EA9A6B">
            <w:pPr>
              <w:jc w:val="both"/>
              <w:rPr>
                <w:rFonts w:hint="default" w:ascii="Calibri" w:hAnsi="Calibri" w:eastAsia="Tahoma" w:cs="Calibri"/>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3</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40259923">
            <w:pPr>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二用一备</w:t>
            </w:r>
          </w:p>
        </w:tc>
        <w:tc>
          <w:tcPr>
            <w:tcW w:w="348" w:type="pct"/>
            <w:vMerge w:val="restart"/>
            <w:tcBorders>
              <w:top w:val="single" w:color="000000" w:sz="4" w:space="0"/>
              <w:left w:val="single" w:color="auto" w:sz="4" w:space="0"/>
              <w:right w:val="single" w:color="000000" w:sz="4" w:space="0"/>
            </w:tcBorders>
            <w:shd w:val="clear" w:color="auto" w:fill="auto"/>
            <w:noWrap/>
            <w:vAlign w:val="center"/>
          </w:tcPr>
          <w:p w14:paraId="3A3A3ECA">
            <w:pPr>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23</w:t>
            </w:r>
          </w:p>
        </w:tc>
        <w:tc>
          <w:tcPr>
            <w:tcW w:w="348" w:type="pct"/>
            <w:vMerge w:val="restart"/>
            <w:tcBorders>
              <w:top w:val="single" w:color="000000" w:sz="4" w:space="0"/>
              <w:left w:val="single" w:color="000000" w:sz="4" w:space="0"/>
              <w:right w:val="single" w:color="000000" w:sz="4" w:space="0"/>
            </w:tcBorders>
            <w:shd w:val="clear" w:color="auto" w:fill="auto"/>
            <w:noWrap/>
            <w:vAlign w:val="center"/>
          </w:tcPr>
          <w:p w14:paraId="10A27B70">
            <w:pPr>
              <w:jc w:val="both"/>
              <w:rPr>
                <w:rFonts w:hint="default" w:ascii="Tahoma" w:hAnsi="Tahoma" w:eastAsia="Tahoma" w:cs="Tahoma"/>
                <w:i w:val="0"/>
                <w:iCs w:val="0"/>
                <w:color w:val="000000"/>
                <w:sz w:val="22"/>
                <w:szCs w:val="22"/>
                <w:u w:val="none"/>
              </w:rPr>
            </w:pPr>
          </w:p>
        </w:tc>
        <w:tc>
          <w:tcPr>
            <w:tcW w:w="434" w:type="pct"/>
            <w:vMerge w:val="restart"/>
            <w:tcBorders>
              <w:top w:val="single" w:color="000000" w:sz="4" w:space="0"/>
              <w:left w:val="single" w:color="000000" w:sz="4" w:space="0"/>
              <w:right w:val="single" w:color="000000" w:sz="4" w:space="0"/>
            </w:tcBorders>
            <w:shd w:val="clear" w:color="auto" w:fill="auto"/>
            <w:noWrap/>
            <w:vAlign w:val="center"/>
          </w:tcPr>
          <w:p w14:paraId="1E097260">
            <w:pPr>
              <w:jc w:val="both"/>
              <w:rPr>
                <w:rFonts w:hint="default" w:ascii="Tahoma" w:hAnsi="Tahoma" w:eastAsia="Tahoma" w:cs="Tahoma"/>
                <w:i w:val="0"/>
                <w:iCs w:val="0"/>
                <w:color w:val="000000"/>
                <w:sz w:val="22"/>
                <w:szCs w:val="22"/>
                <w:u w:val="none"/>
              </w:rPr>
            </w:pPr>
          </w:p>
        </w:tc>
        <w:tc>
          <w:tcPr>
            <w:tcW w:w="441" w:type="pct"/>
            <w:vMerge w:val="restart"/>
            <w:tcBorders>
              <w:top w:val="single" w:color="000000" w:sz="4" w:space="0"/>
              <w:left w:val="single" w:color="000000" w:sz="4" w:space="0"/>
              <w:right w:val="single" w:color="000000" w:sz="4" w:space="0"/>
            </w:tcBorders>
            <w:shd w:val="clear" w:color="auto" w:fill="auto"/>
            <w:noWrap/>
            <w:vAlign w:val="center"/>
          </w:tcPr>
          <w:p w14:paraId="5DCAF2DB">
            <w:pPr>
              <w:jc w:val="both"/>
              <w:rPr>
                <w:rFonts w:hint="default" w:ascii="Tahoma" w:hAnsi="Tahoma" w:eastAsia="Tahoma" w:cs="Tahoma"/>
                <w:i w:val="0"/>
                <w:iCs w:val="0"/>
                <w:color w:val="000000"/>
                <w:sz w:val="22"/>
                <w:szCs w:val="22"/>
                <w:u w:val="none"/>
              </w:rPr>
            </w:pPr>
          </w:p>
        </w:tc>
        <w:tc>
          <w:tcPr>
            <w:tcW w:w="443" w:type="pct"/>
            <w:vMerge w:val="restart"/>
            <w:tcBorders>
              <w:top w:val="single" w:color="000000" w:sz="4" w:space="0"/>
              <w:left w:val="single" w:color="000000" w:sz="4" w:space="0"/>
              <w:right w:val="single" w:color="000000" w:sz="4" w:space="0"/>
            </w:tcBorders>
            <w:shd w:val="clear" w:color="auto" w:fill="auto"/>
            <w:noWrap/>
            <w:vAlign w:val="center"/>
          </w:tcPr>
          <w:p w14:paraId="3F2A5B9F">
            <w:pPr>
              <w:jc w:val="both"/>
              <w:rPr>
                <w:rFonts w:hint="default" w:ascii="Tahoma" w:hAnsi="Tahoma" w:eastAsia="Tahoma" w:cs="Tahoma"/>
                <w:i w:val="0"/>
                <w:iCs w:val="0"/>
                <w:color w:val="000000"/>
                <w:sz w:val="22"/>
                <w:szCs w:val="22"/>
                <w:u w:val="none"/>
              </w:rPr>
            </w:pPr>
          </w:p>
        </w:tc>
      </w:tr>
      <w:tr w14:paraId="2E0AE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305" w:type="pct"/>
            <w:vMerge w:val="continue"/>
            <w:tcBorders>
              <w:left w:val="single" w:color="000000" w:sz="4" w:space="0"/>
              <w:right w:val="single" w:color="auto" w:sz="4" w:space="0"/>
            </w:tcBorders>
            <w:shd w:val="clear" w:color="auto" w:fill="auto"/>
            <w:noWrap/>
            <w:vAlign w:val="center"/>
          </w:tcPr>
          <w:p w14:paraId="076AA628">
            <w:pPr>
              <w:keepNext w:val="0"/>
              <w:keepLines w:val="0"/>
              <w:widowControl/>
              <w:suppressLineNumbers w:val="0"/>
              <w:jc w:val="both"/>
              <w:textAlignment w:val="bottom"/>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691145D5">
            <w:pPr>
              <w:jc w:val="both"/>
            </w:pPr>
            <w:r>
              <w:rPr>
                <w:rFonts w:hint="eastAsia" w:ascii="宋体" w:hAnsi="宋体" w:eastAsia="宋体" w:cs="宋体"/>
                <w:i w:val="0"/>
                <w:iCs w:val="0"/>
                <w:color w:val="000000"/>
                <w:sz w:val="21"/>
                <w:szCs w:val="21"/>
                <w:u w:val="none"/>
                <w:lang w:val="en-US" w:eastAsia="zh-CN"/>
              </w:rPr>
              <w:t>流量仪</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3DC53EAA">
            <w:pPr>
              <w:jc w:val="both"/>
              <w:rPr>
                <w:rFonts w:hint="default" w:ascii="Calibri" w:hAnsi="Calibri" w:eastAsia="Tahoma" w:cs="Calibri"/>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DN100（1.6MPa）</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6A390DCC">
            <w:pPr>
              <w:keepNext w:val="0"/>
              <w:keepLines w:val="0"/>
              <w:widowControl/>
              <w:suppressLineNumbers w:val="0"/>
              <w:jc w:val="both"/>
              <w:textAlignment w:val="bottom"/>
              <w:rPr>
                <w:rStyle w:val="70"/>
                <w:rFonts w:eastAsia="Tahoma"/>
                <w:lang w:val="en-US" w:eastAsia="zh-CN" w:bidi="ar"/>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C5F41FF">
            <w:pPr>
              <w:keepNext w:val="0"/>
              <w:keepLines w:val="0"/>
              <w:widowControl/>
              <w:suppressLineNumbers w:val="0"/>
              <w:jc w:val="both"/>
              <w:textAlignment w:val="bottom"/>
              <w:rPr>
                <w:rStyle w:val="70"/>
                <w:rFonts w:eastAsia="Tahoma"/>
                <w:lang w:val="en-US" w:eastAsia="zh-CN" w:bidi="ar"/>
              </w:rPr>
            </w:pPr>
            <w:r>
              <w:rPr>
                <w:rFonts w:hint="eastAsia" w:ascii="Calibri" w:hAnsi="Calibri" w:eastAsia="宋体" w:cs="Calibri"/>
                <w:i w:val="0"/>
                <w:iCs w:val="0"/>
                <w:color w:val="000000"/>
                <w:sz w:val="21"/>
                <w:szCs w:val="21"/>
                <w:u w:val="none"/>
                <w:lang w:val="en-US" w:eastAsia="zh-CN"/>
              </w:rPr>
              <w:t>1</w:t>
            </w:r>
          </w:p>
        </w:tc>
        <w:tc>
          <w:tcPr>
            <w:tcW w:w="539" w:type="pct"/>
            <w:tcBorders>
              <w:top w:val="single" w:color="auto" w:sz="4" w:space="0"/>
              <w:left w:val="single" w:color="auto" w:sz="4" w:space="0"/>
              <w:bottom w:val="single" w:color="auto" w:sz="4" w:space="0"/>
              <w:right w:val="single" w:color="auto" w:sz="4" w:space="0"/>
            </w:tcBorders>
            <w:shd w:val="clear" w:color="auto" w:fill="auto"/>
            <w:vAlign w:val="center"/>
          </w:tcPr>
          <w:p w14:paraId="79D910BE">
            <w:pPr>
              <w:keepNext w:val="0"/>
              <w:keepLines w:val="0"/>
              <w:widowControl/>
              <w:suppressLineNumbers w:val="0"/>
              <w:jc w:val="both"/>
              <w:textAlignment w:val="center"/>
              <w:rPr>
                <w:rStyle w:val="70"/>
                <w:rFonts w:eastAsia="Tahoma"/>
                <w:lang w:val="en-US" w:eastAsia="zh-CN" w:bidi="ar"/>
              </w:rPr>
            </w:pPr>
          </w:p>
        </w:tc>
        <w:tc>
          <w:tcPr>
            <w:tcW w:w="348" w:type="pct"/>
            <w:vMerge w:val="continue"/>
            <w:tcBorders>
              <w:left w:val="single" w:color="auto" w:sz="4" w:space="0"/>
              <w:right w:val="single" w:color="000000" w:sz="4" w:space="0"/>
            </w:tcBorders>
            <w:shd w:val="clear" w:color="auto" w:fill="auto"/>
            <w:noWrap/>
            <w:vAlign w:val="center"/>
          </w:tcPr>
          <w:p w14:paraId="4DF7A8CE">
            <w:pPr>
              <w:keepNext w:val="0"/>
              <w:keepLines w:val="0"/>
              <w:widowControl/>
              <w:suppressLineNumbers w:val="0"/>
              <w:jc w:val="both"/>
              <w:textAlignment w:val="bottom"/>
              <w:rPr>
                <w:rStyle w:val="70"/>
                <w:rFonts w:eastAsia="Tahoma"/>
                <w:lang w:val="en-US" w:eastAsia="zh-CN" w:bidi="ar"/>
              </w:rPr>
            </w:pPr>
          </w:p>
        </w:tc>
        <w:tc>
          <w:tcPr>
            <w:tcW w:w="348" w:type="pct"/>
            <w:vMerge w:val="continue"/>
            <w:tcBorders>
              <w:left w:val="single" w:color="000000" w:sz="4" w:space="0"/>
              <w:bottom w:val="single" w:color="000000" w:sz="4" w:space="0"/>
              <w:right w:val="single" w:color="000000" w:sz="4" w:space="0"/>
            </w:tcBorders>
            <w:shd w:val="clear" w:color="auto" w:fill="auto"/>
            <w:noWrap/>
            <w:vAlign w:val="center"/>
          </w:tcPr>
          <w:p w14:paraId="508AB3BC">
            <w:pPr>
              <w:keepNext w:val="0"/>
              <w:keepLines w:val="0"/>
              <w:widowControl/>
              <w:suppressLineNumbers w:val="0"/>
              <w:jc w:val="both"/>
              <w:textAlignment w:val="bottom"/>
              <w:rPr>
                <w:rStyle w:val="70"/>
                <w:rFonts w:eastAsia="Tahoma"/>
                <w:lang w:val="en-US" w:eastAsia="zh-CN" w:bidi="ar"/>
              </w:rPr>
            </w:pPr>
          </w:p>
        </w:tc>
        <w:tc>
          <w:tcPr>
            <w:tcW w:w="434" w:type="pct"/>
            <w:vMerge w:val="continue"/>
            <w:tcBorders>
              <w:left w:val="single" w:color="000000" w:sz="4" w:space="0"/>
              <w:bottom w:val="single" w:color="000000" w:sz="4" w:space="0"/>
              <w:right w:val="single" w:color="000000" w:sz="4" w:space="0"/>
            </w:tcBorders>
            <w:shd w:val="clear" w:color="auto" w:fill="auto"/>
            <w:noWrap/>
            <w:vAlign w:val="center"/>
          </w:tcPr>
          <w:p w14:paraId="50D63B67">
            <w:pPr>
              <w:keepNext w:val="0"/>
              <w:keepLines w:val="0"/>
              <w:widowControl/>
              <w:suppressLineNumbers w:val="0"/>
              <w:jc w:val="both"/>
              <w:textAlignment w:val="bottom"/>
              <w:rPr>
                <w:rStyle w:val="70"/>
                <w:rFonts w:eastAsia="Tahoma"/>
                <w:lang w:val="en-US" w:eastAsia="zh-CN" w:bidi="ar"/>
              </w:rPr>
            </w:pPr>
          </w:p>
        </w:tc>
        <w:tc>
          <w:tcPr>
            <w:tcW w:w="441" w:type="pct"/>
            <w:vMerge w:val="continue"/>
            <w:tcBorders>
              <w:left w:val="single" w:color="000000" w:sz="4" w:space="0"/>
              <w:bottom w:val="single" w:color="000000" w:sz="4" w:space="0"/>
              <w:right w:val="single" w:color="000000" w:sz="4" w:space="0"/>
            </w:tcBorders>
            <w:shd w:val="clear" w:color="auto" w:fill="auto"/>
            <w:noWrap/>
            <w:vAlign w:val="center"/>
          </w:tcPr>
          <w:p w14:paraId="17C2D81F">
            <w:pPr>
              <w:keepNext w:val="0"/>
              <w:keepLines w:val="0"/>
              <w:widowControl/>
              <w:suppressLineNumbers w:val="0"/>
              <w:jc w:val="both"/>
              <w:textAlignment w:val="bottom"/>
              <w:rPr>
                <w:rStyle w:val="70"/>
                <w:rFonts w:eastAsia="Tahoma"/>
                <w:lang w:val="en-US" w:eastAsia="zh-CN" w:bidi="ar"/>
              </w:rPr>
            </w:pPr>
          </w:p>
        </w:tc>
        <w:tc>
          <w:tcPr>
            <w:tcW w:w="443" w:type="pct"/>
            <w:vMerge w:val="continue"/>
            <w:tcBorders>
              <w:left w:val="single" w:color="000000" w:sz="4" w:space="0"/>
              <w:bottom w:val="single" w:color="000000" w:sz="4" w:space="0"/>
              <w:right w:val="single" w:color="000000" w:sz="4" w:space="0"/>
            </w:tcBorders>
            <w:shd w:val="clear" w:color="auto" w:fill="auto"/>
            <w:noWrap/>
            <w:vAlign w:val="center"/>
          </w:tcPr>
          <w:p w14:paraId="01ADC5B1">
            <w:pPr>
              <w:keepNext w:val="0"/>
              <w:keepLines w:val="0"/>
              <w:widowControl/>
              <w:suppressLineNumbers w:val="0"/>
              <w:jc w:val="both"/>
              <w:textAlignment w:val="bottom"/>
              <w:rPr>
                <w:rStyle w:val="70"/>
                <w:rFonts w:eastAsia="Tahoma"/>
                <w:lang w:val="en-US" w:eastAsia="zh-CN" w:bidi="ar"/>
              </w:rPr>
            </w:pPr>
          </w:p>
        </w:tc>
      </w:tr>
      <w:tr w14:paraId="6B837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305" w:type="pct"/>
            <w:vMerge w:val="continue"/>
            <w:tcBorders>
              <w:left w:val="single" w:color="000000" w:sz="4" w:space="0"/>
              <w:bottom w:val="single" w:color="000000" w:sz="4" w:space="0"/>
              <w:right w:val="single" w:color="auto" w:sz="4" w:space="0"/>
            </w:tcBorders>
            <w:shd w:val="clear" w:color="auto" w:fill="auto"/>
            <w:noWrap/>
            <w:vAlign w:val="center"/>
          </w:tcPr>
          <w:p w14:paraId="7D4FF522">
            <w:pPr>
              <w:jc w:val="both"/>
              <w:rPr>
                <w:rFonts w:hint="default" w:ascii="Tahoma" w:hAnsi="Tahoma" w:eastAsia="Tahoma" w:cs="Tahoma"/>
                <w:i w:val="0"/>
                <w:iCs w:val="0"/>
                <w:color w:val="000000"/>
                <w:sz w:val="22"/>
                <w:szCs w:val="22"/>
                <w:u w:val="none"/>
              </w:rPr>
            </w:pPr>
          </w:p>
        </w:tc>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151347E7">
            <w:pPr>
              <w:jc w:val="both"/>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电动蝶阀</w:t>
            </w:r>
          </w:p>
        </w:tc>
        <w:tc>
          <w:tcPr>
            <w:tcW w:w="908" w:type="pct"/>
            <w:tcBorders>
              <w:top w:val="single" w:color="auto" w:sz="4" w:space="0"/>
              <w:left w:val="single" w:color="auto" w:sz="4" w:space="0"/>
              <w:bottom w:val="single" w:color="auto" w:sz="4" w:space="0"/>
              <w:right w:val="single" w:color="auto" w:sz="4" w:space="0"/>
            </w:tcBorders>
            <w:shd w:val="clear" w:color="auto" w:fill="auto"/>
            <w:vAlign w:val="center"/>
          </w:tcPr>
          <w:p w14:paraId="34C964C1">
            <w:pPr>
              <w:jc w:val="both"/>
              <w:rPr>
                <w:rFonts w:hint="default" w:ascii="Calibri" w:hAnsi="Calibri" w:eastAsia="Tahoma" w:cs="Calibri"/>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DN100</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14:paraId="2008A1A3">
            <w:pPr>
              <w:keepNext w:val="0"/>
              <w:keepLines w:val="0"/>
              <w:widowControl/>
              <w:suppressLineNumbers w:val="0"/>
              <w:jc w:val="both"/>
              <w:textAlignment w:val="bottom"/>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只</w:t>
            </w:r>
          </w:p>
        </w:tc>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AA8B311">
            <w:pPr>
              <w:keepNext w:val="0"/>
              <w:keepLines w:val="0"/>
              <w:widowControl/>
              <w:suppressLineNumbers w:val="0"/>
              <w:jc w:val="both"/>
              <w:textAlignment w:val="bottom"/>
              <w:rPr>
                <w:rFonts w:hint="default" w:ascii="Calibri" w:hAnsi="Calibri" w:eastAsia="Tahoma" w:cs="Calibri"/>
                <w:i w:val="0"/>
                <w:iCs w:val="0"/>
                <w:color w:val="000000"/>
                <w:kern w:val="2"/>
                <w:sz w:val="21"/>
                <w:szCs w:val="21"/>
                <w:u w:val="none"/>
                <w:lang w:val="en-US" w:eastAsia="zh-CN" w:bidi="ar-SA"/>
              </w:rPr>
            </w:pPr>
            <w:r>
              <w:rPr>
                <w:rFonts w:hint="eastAsia" w:ascii="Calibri" w:hAnsi="Calibri" w:eastAsia="宋体" w:cs="Calibri"/>
                <w:i w:val="0"/>
                <w:iCs w:val="0"/>
                <w:color w:val="000000"/>
                <w:sz w:val="21"/>
                <w:szCs w:val="21"/>
                <w:u w:val="none"/>
                <w:lang w:val="en-US" w:eastAsia="zh-CN"/>
              </w:rPr>
              <w:t>1</w:t>
            </w:r>
          </w:p>
        </w:tc>
        <w:tc>
          <w:tcPr>
            <w:tcW w:w="539" w:type="pct"/>
            <w:tcBorders>
              <w:top w:val="single" w:color="auto" w:sz="4" w:space="0"/>
              <w:left w:val="single" w:color="auto" w:sz="4" w:space="0"/>
              <w:bottom w:val="single" w:color="000000" w:sz="4" w:space="0"/>
              <w:right w:val="single" w:color="000000" w:sz="4" w:space="0"/>
            </w:tcBorders>
            <w:shd w:val="clear" w:color="auto" w:fill="auto"/>
            <w:vAlign w:val="center"/>
          </w:tcPr>
          <w:p w14:paraId="69318A33">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p>
        </w:tc>
        <w:tc>
          <w:tcPr>
            <w:tcW w:w="348" w:type="pct"/>
            <w:vMerge w:val="continue"/>
            <w:tcBorders>
              <w:left w:val="single" w:color="000000" w:sz="4" w:space="0"/>
              <w:bottom w:val="single" w:color="000000" w:sz="4" w:space="0"/>
              <w:right w:val="single" w:color="000000" w:sz="4" w:space="0"/>
            </w:tcBorders>
            <w:shd w:val="clear" w:color="auto" w:fill="auto"/>
            <w:noWrap/>
            <w:vAlign w:val="center"/>
          </w:tcPr>
          <w:p w14:paraId="06A3F862">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3C90">
            <w:pPr>
              <w:jc w:val="both"/>
              <w:rPr>
                <w:rFonts w:hint="default" w:ascii="Tahoma" w:hAnsi="Tahoma" w:eastAsia="Tahoma" w:cs="Tahoma"/>
                <w:i w:val="0"/>
                <w:iCs w:val="0"/>
                <w:color w:val="000000"/>
                <w:sz w:val="22"/>
                <w:szCs w:val="22"/>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98B13">
            <w:pPr>
              <w:jc w:val="both"/>
              <w:rPr>
                <w:rFonts w:hint="default" w:ascii="Tahoma" w:hAnsi="Tahoma" w:eastAsia="Tahoma" w:cs="Tahoma"/>
                <w:i w:val="0"/>
                <w:iCs w:val="0"/>
                <w:color w:val="000000"/>
                <w:sz w:val="22"/>
                <w:szCs w:val="22"/>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6A35">
            <w:pPr>
              <w:jc w:val="both"/>
              <w:rPr>
                <w:rFonts w:hint="default" w:ascii="Tahoma" w:hAnsi="Tahoma" w:eastAsia="Tahoma" w:cs="Tahoma"/>
                <w:i w:val="0"/>
                <w:iCs w:val="0"/>
                <w:color w:val="000000"/>
                <w:sz w:val="22"/>
                <w:szCs w:val="22"/>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CE27E">
            <w:pPr>
              <w:jc w:val="both"/>
              <w:rPr>
                <w:rFonts w:hint="default" w:ascii="Tahoma" w:hAnsi="Tahoma" w:eastAsia="Tahoma" w:cs="Tahoma"/>
                <w:i w:val="0"/>
                <w:iCs w:val="0"/>
                <w:color w:val="000000"/>
                <w:sz w:val="22"/>
                <w:szCs w:val="22"/>
                <w:u w:val="none"/>
              </w:rPr>
            </w:pPr>
          </w:p>
        </w:tc>
      </w:tr>
      <w:tr w14:paraId="551F5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1" w:hRule="atLeast"/>
        </w:trPr>
        <w:tc>
          <w:tcPr>
            <w:tcW w:w="779" w:type="pct"/>
            <w:gridSpan w:val="2"/>
            <w:vMerge w:val="restart"/>
            <w:tcBorders>
              <w:top w:val="single" w:color="000000" w:sz="4" w:space="0"/>
              <w:left w:val="single" w:color="000000" w:sz="4" w:space="0"/>
              <w:right w:val="single" w:color="000000" w:sz="4" w:space="0"/>
            </w:tcBorders>
            <w:shd w:val="clear" w:color="auto" w:fill="auto"/>
            <w:noWrap/>
            <w:vAlign w:val="center"/>
          </w:tcPr>
          <w:p w14:paraId="6F5CC94A">
            <w:pPr>
              <w:keepNext w:val="0"/>
              <w:keepLines w:val="0"/>
              <w:widowControl/>
              <w:suppressLineNumbers w:val="0"/>
              <w:jc w:val="both"/>
              <w:textAlignment w:val="bottom"/>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067DB">
            <w:pPr>
              <w:keepNext w:val="0"/>
              <w:keepLines w:val="0"/>
              <w:widowControl/>
              <w:suppressLineNumbers w:val="0"/>
              <w:jc w:val="both"/>
              <w:textAlignment w:val="bottom"/>
              <w:rPr>
                <w:rStyle w:val="70"/>
                <w:rFonts w:hint="default" w:eastAsia="Tahoma"/>
                <w:lang w:val="en-US" w:eastAsia="zh-CN" w:bidi="ar"/>
              </w:rPr>
            </w:pPr>
            <w:r>
              <w:rPr>
                <w:rStyle w:val="70"/>
                <w:rFonts w:hint="eastAsia" w:eastAsia="Tahoma"/>
                <w:lang w:val="en-US" w:eastAsia="zh-CN" w:bidi="ar"/>
              </w:rPr>
              <w:t>小写：</w:t>
            </w:r>
          </w:p>
        </w:tc>
        <w:tc>
          <w:tcPr>
            <w:tcW w:w="331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0E1A3C7">
            <w:pPr>
              <w:jc w:val="both"/>
              <w:rPr>
                <w:rFonts w:hint="default" w:ascii="Tahoma" w:hAnsi="Tahoma" w:eastAsia="Tahoma" w:cs="Tahoma"/>
                <w:i w:val="0"/>
                <w:iCs w:val="0"/>
                <w:color w:val="000000"/>
                <w:sz w:val="22"/>
                <w:szCs w:val="22"/>
                <w:u w:val="none"/>
              </w:rPr>
            </w:pPr>
          </w:p>
        </w:tc>
      </w:tr>
      <w:tr w14:paraId="67410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779" w:type="pct"/>
            <w:gridSpan w:val="2"/>
            <w:vMerge w:val="continue"/>
            <w:tcBorders>
              <w:left w:val="single" w:color="000000" w:sz="4" w:space="0"/>
              <w:bottom w:val="single" w:color="000000" w:sz="4" w:space="0"/>
              <w:right w:val="single" w:color="000000" w:sz="4" w:space="0"/>
            </w:tcBorders>
            <w:shd w:val="clear" w:color="auto" w:fill="auto"/>
            <w:noWrap/>
            <w:vAlign w:val="center"/>
          </w:tcPr>
          <w:p w14:paraId="0BBCEE2A">
            <w:pPr>
              <w:keepNext w:val="0"/>
              <w:keepLines w:val="0"/>
              <w:widowControl/>
              <w:suppressLineNumbers w:val="0"/>
              <w:jc w:val="both"/>
              <w:textAlignment w:val="bottom"/>
              <w:rPr>
                <w:rFonts w:hint="eastAsia" w:ascii="宋体" w:hAnsi="宋体" w:eastAsia="宋体" w:cs="宋体"/>
                <w:i w:val="0"/>
                <w:iCs w:val="0"/>
                <w:color w:val="000000"/>
                <w:kern w:val="0"/>
                <w:sz w:val="21"/>
                <w:szCs w:val="21"/>
                <w:u w:val="none"/>
                <w:lang w:val="en-US" w:eastAsia="zh-CN" w:bidi="ar"/>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C2966">
            <w:pPr>
              <w:keepNext w:val="0"/>
              <w:keepLines w:val="0"/>
              <w:widowControl/>
              <w:suppressLineNumbers w:val="0"/>
              <w:jc w:val="both"/>
              <w:textAlignment w:val="bottom"/>
              <w:rPr>
                <w:rStyle w:val="70"/>
                <w:rFonts w:hint="default" w:eastAsia="Tahoma"/>
                <w:lang w:val="en-US" w:eastAsia="zh-CN" w:bidi="ar"/>
              </w:rPr>
            </w:pPr>
            <w:r>
              <w:rPr>
                <w:rStyle w:val="70"/>
                <w:rFonts w:hint="eastAsia" w:eastAsia="Tahoma"/>
                <w:lang w:val="en-US" w:eastAsia="zh-CN" w:bidi="ar"/>
              </w:rPr>
              <w:t>大写：</w:t>
            </w:r>
          </w:p>
        </w:tc>
        <w:tc>
          <w:tcPr>
            <w:tcW w:w="331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319A555">
            <w:pPr>
              <w:jc w:val="both"/>
              <w:rPr>
                <w:rFonts w:hint="default" w:ascii="Tahoma" w:hAnsi="Tahoma" w:eastAsia="Tahoma" w:cs="Tahoma"/>
                <w:i w:val="0"/>
                <w:iCs w:val="0"/>
                <w:color w:val="000000"/>
                <w:sz w:val="22"/>
                <w:szCs w:val="22"/>
                <w:u w:val="none"/>
              </w:rPr>
            </w:pPr>
          </w:p>
        </w:tc>
      </w:tr>
    </w:tbl>
    <w:p w14:paraId="4B63E19F">
      <w:pPr>
        <w:pStyle w:val="26"/>
        <w:rPr>
          <w:rFonts w:ascii="宋体" w:hAnsi="宋体"/>
          <w:bCs/>
          <w:sz w:val="24"/>
          <w:highlight w:val="none"/>
          <w:lang w:val="zh-CN"/>
        </w:rPr>
      </w:pPr>
    </w:p>
    <w:p w14:paraId="52760BDB">
      <w:pPr>
        <w:jc w:val="left"/>
        <w:rPr>
          <w:rFonts w:ascii="宋体" w:hAnsi="宋体"/>
          <w:bCs/>
          <w:sz w:val="24"/>
          <w:highlight w:val="none"/>
          <w:lang w:val="zh-CN"/>
        </w:rPr>
      </w:pPr>
      <w:r>
        <w:rPr>
          <w:rFonts w:hint="eastAsia" w:ascii="宋体" w:hAnsi="宋体"/>
          <w:bCs/>
          <w:sz w:val="24"/>
          <w:highlight w:val="none"/>
          <w:lang w:val="zh-CN"/>
        </w:rPr>
        <w:t xml:space="preserve">投标人签名：                                                       </w:t>
      </w:r>
      <w:r>
        <w:rPr>
          <w:rFonts w:hint="eastAsia" w:ascii="宋体" w:hAnsi="宋体"/>
          <w:sz w:val="24"/>
          <w:szCs w:val="24"/>
          <w:highlight w:val="none"/>
        </w:rPr>
        <w:t>日期：</w:t>
      </w:r>
      <w:bookmarkEnd w:id="63"/>
    </w:p>
    <w:p w14:paraId="0CAB70B1">
      <w:pPr>
        <w:ind w:left="1" w:firstLine="420" w:firstLineChars="200"/>
        <w:jc w:val="left"/>
        <w:rPr>
          <w:rFonts w:ascii="宋体" w:hAnsi="宋体"/>
          <w:szCs w:val="21"/>
          <w:highlight w:val="none"/>
          <w:lang w:val="zh-CN"/>
        </w:rPr>
      </w:pPr>
      <w:r>
        <w:rPr>
          <w:rFonts w:hint="eastAsia" w:ascii="宋体" w:hAnsi="宋体"/>
          <w:szCs w:val="21"/>
          <w:highlight w:val="none"/>
          <w:lang w:val="zh-CN"/>
        </w:rPr>
        <w:t>注：</w:t>
      </w:r>
    </w:p>
    <w:p w14:paraId="704FDD43">
      <w:pPr>
        <w:numPr>
          <w:ilvl w:val="0"/>
          <w:numId w:val="15"/>
        </w:numPr>
        <w:ind w:left="0" w:firstLine="420" w:firstLineChars="200"/>
        <w:jc w:val="left"/>
        <w:rPr>
          <w:rFonts w:ascii="宋体" w:hAnsi="宋体"/>
          <w:szCs w:val="21"/>
          <w:highlight w:val="none"/>
          <w:lang w:val="zh-CN"/>
        </w:rPr>
      </w:pPr>
      <w:bookmarkStart w:id="64" w:name="_Toc4946"/>
      <w:r>
        <w:rPr>
          <w:rFonts w:hint="eastAsia" w:ascii="宋体" w:hAnsi="宋体"/>
          <w:szCs w:val="21"/>
          <w:highlight w:val="none"/>
          <w:lang w:val="zh-CN"/>
        </w:rPr>
        <w:t>投标报价应包含货物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highlight w:val="none"/>
        </w:rPr>
        <w:t>，以及投标人认为需要的其他费用等；</w:t>
      </w:r>
    </w:p>
    <w:p w14:paraId="663ABF8A">
      <w:pPr>
        <w:numPr>
          <w:ilvl w:val="0"/>
          <w:numId w:val="15"/>
        </w:numPr>
        <w:ind w:left="0" w:firstLine="420" w:firstLineChars="200"/>
        <w:jc w:val="left"/>
        <w:rPr>
          <w:rFonts w:ascii="宋体" w:hAnsi="宋体"/>
          <w:szCs w:val="21"/>
          <w:highlight w:val="none"/>
          <w:lang w:val="zh-CN"/>
        </w:rPr>
      </w:pPr>
      <w:r>
        <w:rPr>
          <w:rFonts w:hint="eastAsia" w:ascii="宋体" w:hAnsi="宋体"/>
          <w:szCs w:val="21"/>
          <w:highlight w:val="none"/>
          <w:lang w:val="zh-CN"/>
        </w:rPr>
        <w:t>每一项设备仅接受一个价格，投标文件应对《</w:t>
      </w:r>
      <w:bookmarkStart w:id="65" w:name="OLE_LINK15"/>
      <w:r>
        <w:rPr>
          <w:rFonts w:hint="eastAsia" w:ascii="宋体" w:hAnsi="宋体"/>
          <w:szCs w:val="21"/>
          <w:highlight w:val="none"/>
          <w:lang w:val="zh-CN"/>
        </w:rPr>
        <w:t>开标一览表</w:t>
      </w:r>
      <w:bookmarkEnd w:id="65"/>
      <w:r>
        <w:rPr>
          <w:rFonts w:hint="eastAsia" w:ascii="宋体" w:hAnsi="宋体"/>
          <w:szCs w:val="21"/>
          <w:highlight w:val="none"/>
          <w:lang w:val="zh-CN"/>
        </w:rPr>
        <w:t>》中的全部设备进行投标，只投其中部分设备者，投标无效；</w:t>
      </w:r>
    </w:p>
    <w:p w14:paraId="02ADEAEB">
      <w:pPr>
        <w:numPr>
          <w:ilvl w:val="0"/>
          <w:numId w:val="15"/>
        </w:numPr>
        <w:ind w:left="0" w:firstLine="420" w:firstLineChars="200"/>
        <w:jc w:val="left"/>
        <w:rPr>
          <w:rFonts w:ascii="宋体" w:hAnsi="宋体"/>
          <w:szCs w:val="21"/>
          <w:highlight w:val="none"/>
          <w:lang w:val="zh-CN"/>
        </w:rPr>
      </w:pPr>
      <w:r>
        <w:rPr>
          <w:rFonts w:hint="eastAsia" w:ascii="宋体" w:hAnsi="宋体"/>
          <w:szCs w:val="21"/>
          <w:highlight w:val="none"/>
          <w:lang w:val="zh-CN"/>
        </w:rPr>
        <w:t>投标人一旦中标后，如因市场变化、政策性调整等因素导致投标成本的变化，投标报价将不会得到调整。</w:t>
      </w:r>
    </w:p>
    <w:p w14:paraId="25CE553A">
      <w:pPr>
        <w:jc w:val="left"/>
        <w:rPr>
          <w:rFonts w:ascii="黑体" w:hAnsi="宋体" w:eastAsia="黑体"/>
          <w:bCs/>
          <w:sz w:val="24"/>
          <w:szCs w:val="24"/>
          <w:highlight w:val="none"/>
        </w:rPr>
      </w:pPr>
    </w:p>
    <w:p w14:paraId="39489E2B">
      <w:pPr>
        <w:pStyle w:val="26"/>
        <w:rPr>
          <w:highlight w:val="none"/>
        </w:rPr>
        <w:sectPr>
          <w:pgSz w:w="11907" w:h="16840"/>
          <w:pgMar w:top="1134" w:right="1134" w:bottom="1134" w:left="1134" w:header="851" w:footer="992" w:gutter="0"/>
          <w:pgNumType w:fmt="decimal"/>
          <w:cols w:space="720" w:num="1"/>
          <w:titlePg/>
          <w:docGrid w:type="lines" w:linePitch="312" w:charSpace="0"/>
        </w:sectPr>
      </w:pPr>
    </w:p>
    <w:p w14:paraId="238041CC">
      <w:pPr>
        <w:jc w:val="left"/>
        <w:rPr>
          <w:rFonts w:ascii="宋体" w:hAnsi="宋体"/>
          <w:szCs w:val="21"/>
          <w:highlight w:val="none"/>
          <w:lang w:val="zh-CN"/>
        </w:rPr>
      </w:pPr>
      <w:r>
        <w:rPr>
          <w:rFonts w:hint="eastAsia" w:ascii="黑体" w:hAnsi="宋体" w:eastAsia="黑体"/>
          <w:bCs/>
          <w:sz w:val="24"/>
          <w:szCs w:val="24"/>
          <w:highlight w:val="none"/>
        </w:rPr>
        <w:t>2、投标明细报价表（格式）：</w:t>
      </w:r>
      <w:bookmarkEnd w:id="64"/>
    </w:p>
    <w:p w14:paraId="138857AA">
      <w:pPr>
        <w:jc w:val="center"/>
        <w:rPr>
          <w:rFonts w:ascii="黑体" w:hAnsi="黑体" w:eastAsia="黑体"/>
          <w:sz w:val="28"/>
          <w:szCs w:val="28"/>
          <w:highlight w:val="none"/>
        </w:rPr>
      </w:pPr>
      <w:r>
        <w:rPr>
          <w:rFonts w:hint="eastAsia" w:ascii="黑体" w:hAnsi="黑体" w:eastAsia="黑体"/>
          <w:sz w:val="28"/>
          <w:szCs w:val="28"/>
          <w:highlight w:val="none"/>
        </w:rPr>
        <w:t>投标明细报价表</w:t>
      </w:r>
    </w:p>
    <w:p w14:paraId="214DE8A5">
      <w:pPr>
        <w:jc w:val="center"/>
        <w:rPr>
          <w:rFonts w:ascii="宋体" w:hAnsi="宋体"/>
          <w:sz w:val="28"/>
          <w:szCs w:val="28"/>
          <w:highlight w:val="none"/>
        </w:rPr>
      </w:pPr>
      <w:r>
        <w:rPr>
          <w:rFonts w:hint="eastAsia" w:ascii="宋体" w:hAnsi="宋体"/>
          <w:sz w:val="28"/>
          <w:szCs w:val="28"/>
          <w:highlight w:val="none"/>
        </w:rPr>
        <w:t>项目编号：</w:t>
      </w:r>
      <w:r>
        <w:rPr>
          <w:rFonts w:hint="eastAsia" w:ascii="宋体" w:hAnsi="宋体"/>
          <w:sz w:val="28"/>
          <w:szCs w:val="28"/>
          <w:highlight w:val="none"/>
          <w:lang w:eastAsia="zh-CN"/>
        </w:rPr>
        <w:t>YXGQ2025333</w:t>
      </w:r>
      <w:r>
        <w:rPr>
          <w:rFonts w:hint="eastAsia" w:ascii="宋体" w:hAnsi="宋体"/>
          <w:sz w:val="28"/>
          <w:szCs w:val="28"/>
          <w:highlight w:val="none"/>
        </w:rPr>
        <w:t xml:space="preserve"> </w:t>
      </w:r>
    </w:p>
    <w:p w14:paraId="75D7B983">
      <w:pPr>
        <w:spacing w:beforeLines="50"/>
        <w:jc w:val="center"/>
        <w:rPr>
          <w:rFonts w:ascii="黑体" w:hAnsi="黑体" w:eastAsia="黑体"/>
          <w:sz w:val="28"/>
          <w:szCs w:val="28"/>
          <w:highlight w:val="none"/>
        </w:rPr>
      </w:pPr>
      <w:r>
        <w:rPr>
          <w:rFonts w:hint="eastAsia" w:ascii="宋体" w:hAnsi="宋体"/>
          <w:sz w:val="24"/>
          <w:szCs w:val="24"/>
          <w:highlight w:val="none"/>
        </w:rPr>
        <w:t xml:space="preserve"> 投标人名称（盖章）：                                              单位：元</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478"/>
        <w:gridCol w:w="1321"/>
        <w:gridCol w:w="1266"/>
        <w:gridCol w:w="877"/>
        <w:gridCol w:w="1105"/>
        <w:gridCol w:w="1142"/>
        <w:gridCol w:w="1930"/>
      </w:tblGrid>
      <w:tr w14:paraId="2FA60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52" w:type="dxa"/>
            <w:vAlign w:val="center"/>
          </w:tcPr>
          <w:p w14:paraId="12B967EE">
            <w:pPr>
              <w:spacing w:before="5"/>
              <w:jc w:val="center"/>
              <w:rPr>
                <w:rFonts w:ascii="Calibri" w:hAnsi="Calibri" w:eastAsia="宋体" w:cs="Times New Roman"/>
                <w:sz w:val="18"/>
                <w:highlight w:val="none"/>
              </w:rPr>
            </w:pPr>
            <w:bookmarkStart w:id="66" w:name="_Toc14859"/>
            <w:r>
              <w:rPr>
                <w:rFonts w:hint="eastAsia" w:ascii="Calibri" w:hAnsi="Calibri" w:eastAsia="宋体" w:cs="Times New Roman"/>
                <w:sz w:val="18"/>
                <w:highlight w:val="none"/>
              </w:rPr>
              <w:t>序号</w:t>
            </w:r>
          </w:p>
        </w:tc>
        <w:tc>
          <w:tcPr>
            <w:tcW w:w="1478" w:type="dxa"/>
            <w:vAlign w:val="center"/>
          </w:tcPr>
          <w:p w14:paraId="195D4B49">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项目名称</w:t>
            </w:r>
          </w:p>
        </w:tc>
        <w:tc>
          <w:tcPr>
            <w:tcW w:w="1321" w:type="dxa"/>
            <w:vAlign w:val="center"/>
          </w:tcPr>
          <w:p w14:paraId="06AA1C6A">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含税分项费用报价</w:t>
            </w:r>
          </w:p>
        </w:tc>
        <w:tc>
          <w:tcPr>
            <w:tcW w:w="1266" w:type="dxa"/>
            <w:vAlign w:val="center"/>
          </w:tcPr>
          <w:p w14:paraId="3429580A">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不含税分项费用报价</w:t>
            </w:r>
          </w:p>
        </w:tc>
        <w:tc>
          <w:tcPr>
            <w:tcW w:w="877" w:type="dxa"/>
            <w:vAlign w:val="center"/>
          </w:tcPr>
          <w:p w14:paraId="5969D061">
            <w:pPr>
              <w:spacing w:before="5"/>
              <w:jc w:val="center"/>
              <w:rPr>
                <w:rFonts w:ascii="Calibri" w:hAnsi="Calibri" w:eastAsia="宋体" w:cs="Times New Roman"/>
                <w:sz w:val="18"/>
                <w:highlight w:val="none"/>
              </w:rPr>
            </w:pPr>
            <w:r>
              <w:rPr>
                <w:rFonts w:ascii="Calibri" w:hAnsi="Calibri" w:eastAsia="宋体" w:cs="Times New Roman"/>
                <w:sz w:val="18"/>
                <w:highlight w:val="none"/>
              </w:rPr>
              <w:t>增值税税额</w:t>
            </w:r>
          </w:p>
        </w:tc>
        <w:tc>
          <w:tcPr>
            <w:tcW w:w="1105" w:type="dxa"/>
            <w:vAlign w:val="center"/>
          </w:tcPr>
          <w:p w14:paraId="5ECB46F9">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原厂质保期</w:t>
            </w:r>
          </w:p>
        </w:tc>
        <w:tc>
          <w:tcPr>
            <w:tcW w:w="1142" w:type="dxa"/>
            <w:vAlign w:val="center"/>
          </w:tcPr>
          <w:p w14:paraId="32105ED4">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品牌型号</w:t>
            </w:r>
          </w:p>
        </w:tc>
        <w:tc>
          <w:tcPr>
            <w:tcW w:w="1930" w:type="dxa"/>
            <w:vAlign w:val="center"/>
          </w:tcPr>
          <w:p w14:paraId="55B96DB7">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生产厂家</w:t>
            </w:r>
          </w:p>
        </w:tc>
      </w:tr>
      <w:tr w14:paraId="72DC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14:paraId="53E5716D">
            <w:pPr>
              <w:spacing w:before="5"/>
              <w:jc w:val="center"/>
              <w:rPr>
                <w:rFonts w:ascii="Calibri" w:hAnsi="Calibri" w:eastAsia="宋体" w:cs="Times New Roman"/>
                <w:sz w:val="18"/>
                <w:highlight w:val="none"/>
              </w:rPr>
            </w:pPr>
          </w:p>
        </w:tc>
        <w:tc>
          <w:tcPr>
            <w:tcW w:w="1478" w:type="dxa"/>
            <w:vAlign w:val="center"/>
          </w:tcPr>
          <w:p w14:paraId="35794703">
            <w:pPr>
              <w:spacing w:before="5"/>
              <w:jc w:val="center"/>
              <w:rPr>
                <w:rFonts w:ascii="Calibri" w:hAnsi="Calibri" w:eastAsia="宋体" w:cs="Times New Roman"/>
                <w:sz w:val="18"/>
                <w:highlight w:val="none"/>
              </w:rPr>
            </w:pPr>
          </w:p>
        </w:tc>
        <w:tc>
          <w:tcPr>
            <w:tcW w:w="1321" w:type="dxa"/>
            <w:vAlign w:val="center"/>
          </w:tcPr>
          <w:p w14:paraId="29CFEE8C">
            <w:pPr>
              <w:spacing w:before="5"/>
              <w:jc w:val="center"/>
              <w:rPr>
                <w:rFonts w:ascii="Calibri" w:hAnsi="Calibri" w:eastAsia="宋体" w:cs="Times New Roman"/>
                <w:sz w:val="18"/>
                <w:highlight w:val="none"/>
              </w:rPr>
            </w:pPr>
          </w:p>
        </w:tc>
        <w:tc>
          <w:tcPr>
            <w:tcW w:w="1266" w:type="dxa"/>
            <w:vAlign w:val="center"/>
          </w:tcPr>
          <w:p w14:paraId="1FA62767">
            <w:pPr>
              <w:spacing w:before="5"/>
              <w:jc w:val="center"/>
              <w:rPr>
                <w:rFonts w:ascii="Calibri" w:hAnsi="Calibri" w:eastAsia="宋体" w:cs="Times New Roman"/>
                <w:sz w:val="18"/>
                <w:highlight w:val="none"/>
              </w:rPr>
            </w:pPr>
          </w:p>
        </w:tc>
        <w:tc>
          <w:tcPr>
            <w:tcW w:w="877" w:type="dxa"/>
            <w:vAlign w:val="center"/>
          </w:tcPr>
          <w:p w14:paraId="72FDEF64">
            <w:pPr>
              <w:spacing w:before="5"/>
              <w:jc w:val="center"/>
              <w:rPr>
                <w:rFonts w:ascii="Calibri" w:hAnsi="Calibri" w:eastAsia="宋体" w:cs="Times New Roman"/>
                <w:sz w:val="18"/>
                <w:highlight w:val="none"/>
              </w:rPr>
            </w:pPr>
          </w:p>
        </w:tc>
        <w:tc>
          <w:tcPr>
            <w:tcW w:w="1105" w:type="dxa"/>
            <w:vAlign w:val="center"/>
          </w:tcPr>
          <w:p w14:paraId="30072257">
            <w:pPr>
              <w:spacing w:before="5"/>
              <w:jc w:val="center"/>
              <w:rPr>
                <w:rFonts w:ascii="Calibri" w:hAnsi="Calibri" w:eastAsia="宋体" w:cs="Times New Roman"/>
                <w:sz w:val="18"/>
                <w:highlight w:val="none"/>
              </w:rPr>
            </w:pPr>
          </w:p>
        </w:tc>
        <w:tc>
          <w:tcPr>
            <w:tcW w:w="1142" w:type="dxa"/>
            <w:vAlign w:val="center"/>
          </w:tcPr>
          <w:p w14:paraId="50D2CAA0">
            <w:pPr>
              <w:spacing w:before="5"/>
              <w:jc w:val="center"/>
              <w:rPr>
                <w:rFonts w:ascii="Calibri" w:hAnsi="Calibri" w:eastAsia="宋体" w:cs="Times New Roman"/>
                <w:sz w:val="18"/>
                <w:highlight w:val="none"/>
              </w:rPr>
            </w:pPr>
          </w:p>
        </w:tc>
        <w:tc>
          <w:tcPr>
            <w:tcW w:w="1930" w:type="dxa"/>
            <w:vAlign w:val="center"/>
          </w:tcPr>
          <w:p w14:paraId="16E9870B">
            <w:pPr>
              <w:spacing w:before="5"/>
              <w:jc w:val="center"/>
              <w:rPr>
                <w:rFonts w:ascii="Calibri" w:hAnsi="Calibri" w:eastAsia="宋体" w:cs="Times New Roman"/>
                <w:sz w:val="18"/>
                <w:highlight w:val="none"/>
              </w:rPr>
            </w:pPr>
          </w:p>
        </w:tc>
      </w:tr>
      <w:tr w14:paraId="74AB5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14:paraId="034FD265">
            <w:pPr>
              <w:spacing w:before="5"/>
              <w:jc w:val="center"/>
              <w:rPr>
                <w:rFonts w:ascii="Calibri" w:hAnsi="Calibri" w:eastAsia="宋体" w:cs="Times New Roman"/>
                <w:sz w:val="18"/>
                <w:highlight w:val="none"/>
              </w:rPr>
            </w:pPr>
          </w:p>
        </w:tc>
        <w:tc>
          <w:tcPr>
            <w:tcW w:w="1478" w:type="dxa"/>
            <w:vAlign w:val="center"/>
          </w:tcPr>
          <w:p w14:paraId="15735576">
            <w:pPr>
              <w:spacing w:before="5"/>
              <w:jc w:val="center"/>
              <w:rPr>
                <w:rFonts w:ascii="Calibri" w:hAnsi="Calibri" w:eastAsia="宋体" w:cs="Times New Roman"/>
                <w:sz w:val="18"/>
                <w:highlight w:val="none"/>
              </w:rPr>
            </w:pPr>
          </w:p>
        </w:tc>
        <w:tc>
          <w:tcPr>
            <w:tcW w:w="1321" w:type="dxa"/>
            <w:vAlign w:val="center"/>
          </w:tcPr>
          <w:p w14:paraId="29C92952">
            <w:pPr>
              <w:spacing w:before="5"/>
              <w:jc w:val="center"/>
              <w:rPr>
                <w:rFonts w:ascii="Calibri" w:hAnsi="Calibri" w:eastAsia="宋体" w:cs="Times New Roman"/>
                <w:sz w:val="18"/>
                <w:highlight w:val="none"/>
              </w:rPr>
            </w:pPr>
          </w:p>
        </w:tc>
        <w:tc>
          <w:tcPr>
            <w:tcW w:w="1266" w:type="dxa"/>
            <w:vAlign w:val="center"/>
          </w:tcPr>
          <w:p w14:paraId="0D246E81">
            <w:pPr>
              <w:spacing w:before="5"/>
              <w:jc w:val="center"/>
              <w:rPr>
                <w:rFonts w:ascii="Calibri" w:hAnsi="Calibri" w:eastAsia="宋体" w:cs="Times New Roman"/>
                <w:sz w:val="18"/>
                <w:highlight w:val="none"/>
              </w:rPr>
            </w:pPr>
          </w:p>
        </w:tc>
        <w:tc>
          <w:tcPr>
            <w:tcW w:w="877" w:type="dxa"/>
            <w:vAlign w:val="center"/>
          </w:tcPr>
          <w:p w14:paraId="0F90A56C">
            <w:pPr>
              <w:spacing w:before="5"/>
              <w:jc w:val="center"/>
              <w:rPr>
                <w:rFonts w:ascii="Calibri" w:hAnsi="Calibri" w:eastAsia="宋体" w:cs="Times New Roman"/>
                <w:sz w:val="18"/>
                <w:highlight w:val="none"/>
              </w:rPr>
            </w:pPr>
          </w:p>
        </w:tc>
        <w:tc>
          <w:tcPr>
            <w:tcW w:w="1105" w:type="dxa"/>
            <w:vAlign w:val="center"/>
          </w:tcPr>
          <w:p w14:paraId="3164E281">
            <w:pPr>
              <w:spacing w:before="5"/>
              <w:jc w:val="center"/>
              <w:rPr>
                <w:rFonts w:ascii="Calibri" w:hAnsi="Calibri" w:eastAsia="宋体" w:cs="Times New Roman"/>
                <w:sz w:val="18"/>
                <w:highlight w:val="none"/>
              </w:rPr>
            </w:pPr>
          </w:p>
        </w:tc>
        <w:tc>
          <w:tcPr>
            <w:tcW w:w="1142" w:type="dxa"/>
            <w:vAlign w:val="center"/>
          </w:tcPr>
          <w:p w14:paraId="07B4EAB5">
            <w:pPr>
              <w:spacing w:before="5"/>
              <w:jc w:val="center"/>
              <w:rPr>
                <w:rFonts w:ascii="Calibri" w:hAnsi="Calibri" w:eastAsia="宋体" w:cs="Times New Roman"/>
                <w:sz w:val="18"/>
                <w:highlight w:val="none"/>
              </w:rPr>
            </w:pPr>
          </w:p>
        </w:tc>
        <w:tc>
          <w:tcPr>
            <w:tcW w:w="1930" w:type="dxa"/>
            <w:vAlign w:val="center"/>
          </w:tcPr>
          <w:p w14:paraId="4457C9BD">
            <w:pPr>
              <w:spacing w:before="5"/>
              <w:jc w:val="center"/>
              <w:rPr>
                <w:rFonts w:ascii="Calibri" w:hAnsi="Calibri" w:eastAsia="宋体" w:cs="Times New Roman"/>
                <w:sz w:val="18"/>
                <w:highlight w:val="none"/>
              </w:rPr>
            </w:pPr>
          </w:p>
        </w:tc>
      </w:tr>
      <w:tr w14:paraId="516FD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130" w:type="dxa"/>
            <w:gridSpan w:val="2"/>
            <w:vAlign w:val="center"/>
          </w:tcPr>
          <w:p w14:paraId="4408D0C1">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合计（小写）</w:t>
            </w:r>
          </w:p>
        </w:tc>
        <w:tc>
          <w:tcPr>
            <w:tcW w:w="7641" w:type="dxa"/>
            <w:gridSpan w:val="6"/>
            <w:vAlign w:val="center"/>
          </w:tcPr>
          <w:p w14:paraId="01F42710">
            <w:pPr>
              <w:spacing w:before="5"/>
              <w:jc w:val="center"/>
              <w:rPr>
                <w:rFonts w:ascii="Calibri" w:hAnsi="Calibri" w:eastAsia="宋体" w:cs="Times New Roman"/>
                <w:sz w:val="18"/>
                <w:highlight w:val="none"/>
              </w:rPr>
            </w:pPr>
          </w:p>
        </w:tc>
      </w:tr>
      <w:tr w14:paraId="15ECA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30" w:type="dxa"/>
            <w:gridSpan w:val="2"/>
            <w:vAlign w:val="center"/>
          </w:tcPr>
          <w:p w14:paraId="67D232D1">
            <w:pPr>
              <w:jc w:val="left"/>
              <w:rPr>
                <w:rFonts w:ascii="宋体" w:hAnsi="Calibri" w:eastAsia="宋体" w:cs="Times New Roman"/>
                <w:b/>
                <w:bCs/>
                <w:sz w:val="24"/>
                <w:highlight w:val="none"/>
              </w:rPr>
            </w:pPr>
            <w:r>
              <w:rPr>
                <w:rFonts w:hint="eastAsia" w:ascii="宋体" w:hAnsi="Calibri" w:eastAsia="宋体" w:cs="Times New Roman"/>
                <w:b/>
                <w:bCs/>
                <w:sz w:val="24"/>
                <w:highlight w:val="none"/>
              </w:rPr>
              <w:t>完工期</w:t>
            </w:r>
          </w:p>
        </w:tc>
        <w:tc>
          <w:tcPr>
            <w:tcW w:w="7641" w:type="dxa"/>
            <w:gridSpan w:val="6"/>
            <w:vAlign w:val="center"/>
          </w:tcPr>
          <w:p w14:paraId="649CD717">
            <w:pPr>
              <w:jc w:val="left"/>
              <w:rPr>
                <w:rFonts w:ascii="宋体" w:hAnsi="Calibri" w:eastAsia="宋体" w:cs="Times New Roman"/>
                <w:b/>
                <w:bCs/>
                <w:sz w:val="24"/>
                <w:highlight w:val="none"/>
              </w:rPr>
            </w:pPr>
          </w:p>
        </w:tc>
      </w:tr>
      <w:tr w14:paraId="61E52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130" w:type="dxa"/>
            <w:gridSpan w:val="2"/>
            <w:vAlign w:val="center"/>
          </w:tcPr>
          <w:p w14:paraId="20EC655A">
            <w:pPr>
              <w:jc w:val="left"/>
              <w:rPr>
                <w:rFonts w:ascii="宋体" w:hAnsi="Calibri" w:eastAsia="宋体" w:cs="Times New Roman"/>
                <w:b/>
                <w:bCs/>
                <w:sz w:val="24"/>
                <w:highlight w:val="none"/>
              </w:rPr>
            </w:pPr>
            <w:r>
              <w:rPr>
                <w:rFonts w:hint="eastAsia" w:ascii="宋体" w:hAnsi="Calibri" w:eastAsia="宋体" w:cs="Times New Roman"/>
                <w:b/>
                <w:bCs/>
                <w:sz w:val="24"/>
                <w:highlight w:val="none"/>
              </w:rPr>
              <w:t>项目整体质保期</w:t>
            </w:r>
          </w:p>
        </w:tc>
        <w:tc>
          <w:tcPr>
            <w:tcW w:w="7641" w:type="dxa"/>
            <w:gridSpan w:val="6"/>
            <w:vAlign w:val="center"/>
          </w:tcPr>
          <w:p w14:paraId="0947BB5E">
            <w:pPr>
              <w:jc w:val="left"/>
              <w:rPr>
                <w:rFonts w:ascii="宋体" w:hAnsi="Calibri" w:eastAsia="宋体" w:cs="Times New Roman"/>
                <w:b/>
                <w:bCs/>
                <w:sz w:val="24"/>
                <w:highlight w:val="none"/>
              </w:rPr>
            </w:pPr>
          </w:p>
        </w:tc>
      </w:tr>
      <w:tr w14:paraId="60D7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52" w:type="dxa"/>
            <w:vMerge w:val="restart"/>
            <w:vAlign w:val="center"/>
          </w:tcPr>
          <w:p w14:paraId="2FDB4284">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服</w:t>
            </w:r>
          </w:p>
          <w:p w14:paraId="1B87CB36">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务</w:t>
            </w:r>
          </w:p>
          <w:p w14:paraId="230C4B22">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承</w:t>
            </w:r>
          </w:p>
          <w:p w14:paraId="1C66DB70">
            <w:pPr>
              <w:spacing w:before="5"/>
              <w:jc w:val="center"/>
              <w:rPr>
                <w:rFonts w:ascii="Calibri" w:hAnsi="Calibri" w:eastAsia="宋体" w:cs="Times New Roman"/>
                <w:sz w:val="18"/>
                <w:highlight w:val="none"/>
              </w:rPr>
            </w:pPr>
            <w:r>
              <w:rPr>
                <w:rFonts w:hint="eastAsia" w:ascii="宋体" w:hAnsi="宋体" w:eastAsia="宋体" w:cs="Times New Roman"/>
                <w:b/>
                <w:bCs/>
                <w:sz w:val="24"/>
                <w:szCs w:val="24"/>
                <w:highlight w:val="none"/>
              </w:rPr>
              <w:t>诺</w:t>
            </w:r>
          </w:p>
        </w:tc>
        <w:tc>
          <w:tcPr>
            <w:tcW w:w="9119" w:type="dxa"/>
            <w:gridSpan w:val="7"/>
            <w:vAlign w:val="center"/>
          </w:tcPr>
          <w:p w14:paraId="2ED1359C">
            <w:pPr>
              <w:numPr>
                <w:ilvl w:val="0"/>
                <w:numId w:val="16"/>
              </w:numP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质量</w:t>
            </w:r>
            <w:r>
              <w:rPr>
                <w:rFonts w:ascii="宋体" w:hAnsi="宋体" w:eastAsia="宋体" w:cs="Times New Roman"/>
                <w:bCs/>
                <w:sz w:val="24"/>
                <w:szCs w:val="24"/>
                <w:highlight w:val="none"/>
              </w:rPr>
              <w:t xml:space="preserve"> 2.</w:t>
            </w:r>
            <w:r>
              <w:rPr>
                <w:rFonts w:hint="eastAsia" w:ascii="宋体" w:hAnsi="宋体" w:eastAsia="宋体" w:cs="Times New Roman"/>
                <w:bCs/>
                <w:sz w:val="24"/>
                <w:szCs w:val="24"/>
                <w:highlight w:val="none"/>
              </w:rPr>
              <w:t>指导安装及调试3</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三包</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包修、包退、包换)4</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其他承诺</w:t>
            </w:r>
          </w:p>
          <w:p w14:paraId="2D68321A">
            <w:pPr>
              <w:spacing w:before="5"/>
              <w:jc w:val="left"/>
              <w:rPr>
                <w:rFonts w:ascii="Calibri" w:hAnsi="Calibri" w:eastAsia="宋体" w:cs="Times New Roman"/>
                <w:sz w:val="18"/>
                <w:highlight w:val="none"/>
              </w:rPr>
            </w:pPr>
            <w:r>
              <w:rPr>
                <w:rFonts w:hint="eastAsia" w:ascii="宋体" w:hAnsi="宋体" w:eastAsia="宋体" w:cs="Times New Roman"/>
                <w:bCs/>
                <w:sz w:val="24"/>
                <w:szCs w:val="24"/>
                <w:highlight w:val="none"/>
              </w:rPr>
              <w:t>（以上是主要承诺，供投标人参考，投标人应在满足招标文件要求的基础上，根据自己单位的情况作出具体承诺）</w:t>
            </w:r>
          </w:p>
        </w:tc>
      </w:tr>
      <w:tr w14:paraId="7837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52" w:type="dxa"/>
            <w:vMerge w:val="continue"/>
            <w:vAlign w:val="center"/>
          </w:tcPr>
          <w:p w14:paraId="5C478D81">
            <w:pPr>
              <w:spacing w:before="5"/>
              <w:jc w:val="center"/>
              <w:rPr>
                <w:rFonts w:ascii="Calibri" w:hAnsi="Calibri" w:eastAsia="宋体" w:cs="Times New Roman"/>
                <w:sz w:val="18"/>
                <w:highlight w:val="none"/>
              </w:rPr>
            </w:pPr>
          </w:p>
        </w:tc>
        <w:tc>
          <w:tcPr>
            <w:tcW w:w="9119" w:type="dxa"/>
            <w:gridSpan w:val="7"/>
            <w:vAlign w:val="center"/>
          </w:tcPr>
          <w:p w14:paraId="5F4FC67C">
            <w:pPr>
              <w:spacing w:before="5"/>
              <w:jc w:val="left"/>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合理化建议：</w:t>
            </w:r>
          </w:p>
          <w:p w14:paraId="019CE517">
            <w:pPr>
              <w:spacing w:before="5"/>
              <w:jc w:val="left"/>
              <w:rPr>
                <w:rFonts w:ascii="宋体" w:hAnsi="宋体" w:eastAsia="宋体" w:cs="Times New Roman"/>
                <w:b/>
                <w:bCs/>
                <w:sz w:val="24"/>
                <w:szCs w:val="24"/>
                <w:highlight w:val="none"/>
              </w:rPr>
            </w:pPr>
          </w:p>
          <w:p w14:paraId="5CAA9A92">
            <w:pPr>
              <w:spacing w:before="5"/>
              <w:jc w:val="left"/>
              <w:rPr>
                <w:rFonts w:ascii="Calibri" w:hAnsi="Calibri" w:eastAsia="宋体" w:cs="Times New Roman"/>
                <w:sz w:val="18"/>
                <w:highlight w:val="none"/>
              </w:rPr>
            </w:pPr>
          </w:p>
        </w:tc>
      </w:tr>
    </w:tbl>
    <w:p w14:paraId="401FCE66">
      <w:pPr>
        <w:spacing w:line="360" w:lineRule="auto"/>
        <w:rPr>
          <w:rFonts w:ascii="宋体" w:hAnsi="宋体"/>
          <w:b/>
          <w:szCs w:val="21"/>
          <w:highlight w:val="none"/>
        </w:rPr>
      </w:pPr>
      <w:r>
        <w:rPr>
          <w:rFonts w:hint="eastAsia" w:ascii="宋体" w:hAnsi="宋体"/>
          <w:bCs/>
          <w:sz w:val="24"/>
          <w:highlight w:val="none"/>
          <w:lang w:val="zh-CN"/>
        </w:rPr>
        <w:t>投标人签名：</w:t>
      </w:r>
      <w:r>
        <w:rPr>
          <w:rFonts w:hint="eastAsia" w:ascii="宋体" w:hAnsi="宋体"/>
          <w:sz w:val="24"/>
          <w:szCs w:val="24"/>
          <w:highlight w:val="none"/>
        </w:rPr>
        <w:t>日期：</w:t>
      </w:r>
    </w:p>
    <w:p w14:paraId="34FC6557">
      <w:pPr>
        <w:spacing w:line="360" w:lineRule="auto"/>
        <w:rPr>
          <w:rFonts w:ascii="宋体" w:hAnsi="宋体"/>
          <w:bCs/>
          <w:szCs w:val="21"/>
          <w:highlight w:val="none"/>
        </w:rPr>
      </w:pPr>
      <w:bookmarkStart w:id="67" w:name="OLE_LINK234"/>
      <w:bookmarkStart w:id="68" w:name="OLE_LINK149"/>
      <w:r>
        <w:rPr>
          <w:rFonts w:hint="eastAsia" w:ascii="宋体" w:hAnsi="宋体"/>
          <w:b/>
          <w:szCs w:val="21"/>
          <w:highlight w:val="none"/>
        </w:rPr>
        <w:t>注：</w:t>
      </w:r>
      <w:bookmarkEnd w:id="66"/>
      <w:bookmarkStart w:id="69" w:name="_Toc13985"/>
      <w:r>
        <w:rPr>
          <w:rFonts w:hint="eastAsia" w:ascii="宋体" w:hAnsi="宋体"/>
          <w:bCs/>
          <w:szCs w:val="21"/>
          <w:highlight w:val="none"/>
        </w:rPr>
        <w:t xml:space="preserve"> （1）投标人应当根据“第四章 项目技术要求和有关说明”的内容在上表中详细填写，须包括本次招标的所有细项；</w:t>
      </w:r>
      <w:bookmarkEnd w:id="69"/>
      <w:r>
        <w:rPr>
          <w:rFonts w:hint="eastAsia" w:ascii="宋体" w:hAnsi="宋体"/>
          <w:bCs/>
          <w:szCs w:val="21"/>
          <w:highlight w:val="none"/>
        </w:rPr>
        <w:t>“投标明细报价表”合计需与“开标一览表”合计一致。</w:t>
      </w:r>
    </w:p>
    <w:p w14:paraId="155F6213">
      <w:pPr>
        <w:ind w:left="420"/>
        <w:jc w:val="left"/>
        <w:rPr>
          <w:rFonts w:ascii="宋体" w:hAnsi="宋体"/>
          <w:bCs/>
          <w:szCs w:val="21"/>
          <w:highlight w:val="none"/>
        </w:rPr>
      </w:pPr>
      <w:r>
        <w:rPr>
          <w:rFonts w:hint="eastAsia" w:ascii="宋体" w:hAnsi="宋体"/>
          <w:bCs/>
          <w:szCs w:val="21"/>
          <w:highlight w:val="none"/>
        </w:rPr>
        <w:t>（2）表格不够可自行延长。</w:t>
      </w:r>
      <w:bookmarkEnd w:id="67"/>
      <w:bookmarkEnd w:id="68"/>
      <w:bookmarkStart w:id="70" w:name="OLE_LINK235"/>
      <w:bookmarkStart w:id="71" w:name="_Toc8000"/>
    </w:p>
    <w:p w14:paraId="643612D6">
      <w:pPr>
        <w:jc w:val="left"/>
        <w:rPr>
          <w:rFonts w:ascii="宋体" w:hAnsi="宋体"/>
          <w:bCs/>
          <w:szCs w:val="21"/>
          <w:highlight w:val="none"/>
        </w:rPr>
      </w:pPr>
    </w:p>
    <w:p w14:paraId="5AF10E8D">
      <w:pPr>
        <w:jc w:val="left"/>
        <w:rPr>
          <w:rFonts w:ascii="宋体" w:hAnsi="宋体"/>
          <w:bCs/>
          <w:szCs w:val="21"/>
          <w:highlight w:val="none"/>
        </w:rPr>
      </w:pPr>
    </w:p>
    <w:p w14:paraId="18DCD63C">
      <w:pPr>
        <w:jc w:val="left"/>
        <w:rPr>
          <w:rFonts w:ascii="宋体" w:hAnsi="宋体"/>
          <w:bCs/>
          <w:szCs w:val="21"/>
          <w:highlight w:val="none"/>
        </w:rPr>
      </w:pPr>
    </w:p>
    <w:p w14:paraId="1E2801C8">
      <w:pPr>
        <w:jc w:val="center"/>
        <w:rPr>
          <w:rFonts w:ascii="黑体" w:hAnsi="黑体" w:eastAsia="黑体"/>
          <w:sz w:val="28"/>
          <w:szCs w:val="28"/>
          <w:highlight w:val="none"/>
        </w:rPr>
      </w:pPr>
    </w:p>
    <w:p w14:paraId="144B7E39">
      <w:pPr>
        <w:jc w:val="center"/>
        <w:rPr>
          <w:rFonts w:ascii="黑体" w:hAnsi="黑体" w:eastAsia="黑体"/>
          <w:sz w:val="28"/>
          <w:szCs w:val="28"/>
          <w:highlight w:val="none"/>
        </w:rPr>
      </w:pPr>
    </w:p>
    <w:p w14:paraId="2115148A">
      <w:pPr>
        <w:jc w:val="center"/>
        <w:rPr>
          <w:rFonts w:ascii="黑体" w:hAnsi="黑体" w:eastAsia="黑体"/>
          <w:sz w:val="28"/>
          <w:szCs w:val="28"/>
          <w:highlight w:val="none"/>
        </w:rPr>
      </w:pPr>
    </w:p>
    <w:p w14:paraId="1AAA47CF">
      <w:pPr>
        <w:jc w:val="center"/>
        <w:rPr>
          <w:rFonts w:ascii="黑体" w:hAnsi="黑体" w:eastAsia="黑体"/>
          <w:sz w:val="28"/>
          <w:szCs w:val="28"/>
          <w:highlight w:val="none"/>
        </w:rPr>
      </w:pPr>
    </w:p>
    <w:p w14:paraId="7D8DE358">
      <w:pPr>
        <w:pStyle w:val="26"/>
        <w:rPr>
          <w:highlight w:val="none"/>
        </w:rPr>
      </w:pPr>
    </w:p>
    <w:p w14:paraId="6398C81B">
      <w:pPr>
        <w:jc w:val="center"/>
        <w:rPr>
          <w:rFonts w:ascii="黑体" w:hAnsi="黑体" w:eastAsia="黑体"/>
          <w:sz w:val="28"/>
          <w:szCs w:val="28"/>
          <w:highlight w:val="none"/>
        </w:rPr>
      </w:pPr>
    </w:p>
    <w:bookmarkEnd w:id="70"/>
    <w:p w14:paraId="24645555">
      <w:pPr>
        <w:rPr>
          <w:rFonts w:ascii="黑体" w:hAnsi="宋体" w:eastAsia="黑体"/>
          <w:bCs/>
          <w:sz w:val="28"/>
          <w:szCs w:val="28"/>
          <w:highlight w:val="none"/>
        </w:rPr>
      </w:pPr>
      <w:r>
        <w:rPr>
          <w:rFonts w:hint="eastAsia" w:ascii="黑体" w:hAnsi="宋体" w:eastAsia="黑体"/>
          <w:bCs/>
          <w:sz w:val="28"/>
          <w:szCs w:val="28"/>
          <w:highlight w:val="none"/>
        </w:rPr>
        <w:t>（三）资格证明文件</w:t>
      </w:r>
    </w:p>
    <w:p w14:paraId="2F3F350D">
      <w:pPr>
        <w:ind w:firstLine="480" w:firstLineChars="200"/>
        <w:rPr>
          <w:rFonts w:ascii="黑体" w:eastAsia="黑体"/>
          <w:bCs/>
          <w:sz w:val="36"/>
          <w:highlight w:val="none"/>
        </w:rPr>
      </w:pPr>
      <w:r>
        <w:rPr>
          <w:rFonts w:hint="eastAsia" w:ascii="黑体" w:hAnsi="宋体" w:eastAsia="黑体"/>
          <w:bCs/>
          <w:sz w:val="24"/>
          <w:szCs w:val="24"/>
          <w:highlight w:val="none"/>
        </w:rPr>
        <w:t>1、关于资格的声明函（格式）：</w:t>
      </w:r>
      <w:bookmarkEnd w:id="71"/>
    </w:p>
    <w:p w14:paraId="40D73E0F">
      <w:pPr>
        <w:spacing w:beforeLines="50" w:afterLines="50"/>
        <w:jc w:val="center"/>
        <w:rPr>
          <w:rFonts w:ascii="黑体" w:eastAsia="黑体"/>
          <w:bCs/>
          <w:sz w:val="32"/>
          <w:highlight w:val="none"/>
        </w:rPr>
      </w:pPr>
      <w:bookmarkStart w:id="72" w:name="报价方关于资格的声明函（格式）"/>
      <w:bookmarkEnd w:id="72"/>
      <w:bookmarkStart w:id="73" w:name="_Toc24943"/>
      <w:r>
        <w:rPr>
          <w:rFonts w:hint="eastAsia" w:ascii="黑体" w:eastAsia="黑体"/>
          <w:bCs/>
          <w:sz w:val="28"/>
          <w:szCs w:val="28"/>
          <w:highlight w:val="none"/>
        </w:rPr>
        <w:t>关于资格的声明函</w:t>
      </w:r>
      <w:bookmarkEnd w:id="73"/>
    </w:p>
    <w:p w14:paraId="01889F59">
      <w:pPr>
        <w:spacing w:line="480" w:lineRule="auto"/>
        <w:jc w:val="right"/>
        <w:rPr>
          <w:rFonts w:ascii="宋体"/>
          <w:bCs/>
          <w:sz w:val="24"/>
          <w:szCs w:val="24"/>
          <w:highlight w:val="none"/>
        </w:rPr>
      </w:pPr>
      <w:bookmarkStart w:id="74" w:name="OLE_LINK80"/>
      <w:r>
        <w:rPr>
          <w:rFonts w:hint="eastAsia" w:ascii="宋体" w:hAnsi="宋体"/>
          <w:bCs/>
          <w:sz w:val="24"/>
          <w:szCs w:val="24"/>
          <w:highlight w:val="none"/>
        </w:rPr>
        <w:t>项目编号：</w:t>
      </w:r>
      <w:r>
        <w:rPr>
          <w:rFonts w:hint="eastAsia" w:ascii="宋体" w:hAnsi="宋体"/>
          <w:bCs/>
          <w:sz w:val="24"/>
          <w:szCs w:val="24"/>
          <w:highlight w:val="none"/>
          <w:lang w:eastAsia="zh-CN"/>
        </w:rPr>
        <w:t>YXGQ2025333</w:t>
      </w:r>
      <w:r>
        <w:rPr>
          <w:rFonts w:hint="eastAsia" w:ascii="宋体" w:hAnsi="宋体"/>
          <w:bCs/>
          <w:sz w:val="24"/>
          <w:szCs w:val="24"/>
          <w:highlight w:val="none"/>
        </w:rPr>
        <w:t xml:space="preserve"> </w:t>
      </w:r>
    </w:p>
    <w:p w14:paraId="3FC95C24">
      <w:pPr>
        <w:tabs>
          <w:tab w:val="left" w:pos="6300"/>
        </w:tabs>
        <w:spacing w:line="480" w:lineRule="auto"/>
        <w:jc w:val="center"/>
        <w:rPr>
          <w:rFonts w:ascii="宋体"/>
          <w:bCs/>
          <w:sz w:val="24"/>
          <w:szCs w:val="24"/>
          <w:highlight w:val="none"/>
        </w:rPr>
      </w:pPr>
      <w:r>
        <w:rPr>
          <w:rFonts w:hint="eastAsia" w:ascii="宋体" w:hAnsi="宋体"/>
          <w:bCs/>
          <w:sz w:val="24"/>
          <w:szCs w:val="24"/>
          <w:highlight w:val="none"/>
        </w:rPr>
        <w:t xml:space="preserve">                              日期： </w:t>
      </w:r>
    </w:p>
    <w:p w14:paraId="13C4B6BD">
      <w:pPr>
        <w:spacing w:line="480" w:lineRule="auto"/>
        <w:jc w:val="center"/>
        <w:rPr>
          <w:rFonts w:ascii="宋体"/>
          <w:bCs/>
          <w:sz w:val="24"/>
          <w:szCs w:val="24"/>
          <w:highlight w:val="none"/>
        </w:rPr>
      </w:pPr>
    </w:p>
    <w:bookmarkEnd w:id="74"/>
    <w:p w14:paraId="518DFC3C">
      <w:pPr>
        <w:spacing w:line="480" w:lineRule="auto"/>
        <w:rPr>
          <w:rFonts w:ascii="宋体"/>
          <w:bCs/>
          <w:sz w:val="24"/>
          <w:szCs w:val="24"/>
          <w:highlight w:val="none"/>
        </w:rPr>
      </w:pPr>
      <w:r>
        <w:rPr>
          <w:rFonts w:hint="eastAsia" w:ascii="宋体" w:hAnsi="宋体"/>
          <w:bCs/>
          <w:sz w:val="24"/>
          <w:szCs w:val="24"/>
          <w:highlight w:val="none"/>
        </w:rPr>
        <w:t>宜兴市公用投资管理有限公司：</w:t>
      </w:r>
    </w:p>
    <w:p w14:paraId="098B2EBF">
      <w:pPr>
        <w:spacing w:line="480" w:lineRule="auto"/>
        <w:ind w:firstLine="480" w:firstLineChars="200"/>
        <w:rPr>
          <w:rFonts w:ascii="宋体"/>
          <w:bCs/>
          <w:sz w:val="24"/>
          <w:szCs w:val="24"/>
          <w:highlight w:val="none"/>
        </w:rPr>
      </w:pPr>
      <w:r>
        <w:rPr>
          <w:rFonts w:hint="eastAsia" w:ascii="宋体" w:hAnsi="宋体"/>
          <w:bCs/>
          <w:sz w:val="24"/>
          <w:szCs w:val="24"/>
          <w:highlight w:val="none"/>
        </w:rPr>
        <w:t>我公司（单位）参加本次项目（</w:t>
      </w:r>
      <w:r>
        <w:rPr>
          <w:rFonts w:hint="eastAsia" w:ascii="宋体" w:hAnsi="宋体"/>
          <w:bCs/>
          <w:sz w:val="24"/>
          <w:szCs w:val="24"/>
          <w:highlight w:val="none"/>
          <w:lang w:eastAsia="zh-CN"/>
        </w:rPr>
        <w:t>YXGQ2025333</w:t>
      </w:r>
      <w:r>
        <w:rPr>
          <w:rFonts w:hint="eastAsia" w:ascii="黑体" w:eastAsia="黑体"/>
          <w:bCs/>
          <w:sz w:val="24"/>
          <w:szCs w:val="24"/>
          <w:highlight w:val="none"/>
        </w:rPr>
        <w:t>）</w:t>
      </w:r>
      <w:r>
        <w:rPr>
          <w:rFonts w:hint="eastAsia" w:ascii="宋体" w:hAnsi="宋体"/>
          <w:bCs/>
          <w:sz w:val="24"/>
          <w:szCs w:val="24"/>
          <w:highlight w:val="none"/>
        </w:rPr>
        <w:t>采购活动前三年内在经营活动中没有重大违法记录；</w:t>
      </w:r>
      <w:r>
        <w:rPr>
          <w:rFonts w:ascii="宋体" w:hAnsi="宋体" w:cs="宋体"/>
          <w:kern w:val="0"/>
          <w:sz w:val="24"/>
          <w:szCs w:val="24"/>
          <w:highlight w:val="none"/>
        </w:rPr>
        <w:t>同时，投标时不存在</w:t>
      </w:r>
      <w:bookmarkStart w:id="75" w:name="OLE_LINK242"/>
      <w:r>
        <w:rPr>
          <w:rFonts w:hint="eastAsia" w:ascii="宋体" w:hAnsi="宋体" w:cs="宋体"/>
          <w:kern w:val="0"/>
          <w:sz w:val="24"/>
          <w:szCs w:val="24"/>
          <w:highlight w:val="none"/>
        </w:rPr>
        <w:t>有效期限</w:t>
      </w:r>
      <w:bookmarkEnd w:id="75"/>
      <w:r>
        <w:rPr>
          <w:rFonts w:ascii="宋体" w:hAnsi="宋体" w:cs="宋体"/>
          <w:kern w:val="0"/>
          <w:sz w:val="24"/>
          <w:szCs w:val="24"/>
          <w:highlight w:val="none"/>
        </w:rPr>
        <w:t>内的采购严重违法失信行为的</w:t>
      </w:r>
      <w:r>
        <w:rPr>
          <w:rFonts w:hint="eastAsia" w:ascii="宋体" w:hAnsi="宋体" w:cs="宋体"/>
          <w:kern w:val="0"/>
          <w:sz w:val="24"/>
          <w:szCs w:val="24"/>
          <w:highlight w:val="none"/>
        </w:rPr>
        <w:t>处罚</w:t>
      </w:r>
      <w:r>
        <w:rPr>
          <w:rFonts w:ascii="宋体" w:hAnsi="宋体" w:cs="宋体"/>
          <w:kern w:val="0"/>
          <w:sz w:val="24"/>
          <w:szCs w:val="24"/>
          <w:highlight w:val="none"/>
        </w:rPr>
        <w:t>记录</w:t>
      </w:r>
      <w:r>
        <w:rPr>
          <w:rFonts w:hint="eastAsia" w:ascii="宋体" w:hAnsi="宋体" w:cs="宋体"/>
          <w:kern w:val="0"/>
          <w:sz w:val="24"/>
          <w:szCs w:val="24"/>
          <w:highlight w:val="none"/>
        </w:rPr>
        <w:t>，</w:t>
      </w:r>
      <w:r>
        <w:rPr>
          <w:rFonts w:ascii="宋体" w:hAnsi="宋体" w:cs="宋体"/>
          <w:kern w:val="0"/>
          <w:sz w:val="24"/>
          <w:szCs w:val="24"/>
          <w:highlight w:val="none"/>
        </w:rPr>
        <w:t>未被列入失信名单或重大税收违法案件当事人名单；</w:t>
      </w:r>
      <w:r>
        <w:rPr>
          <w:rFonts w:hint="eastAsia" w:ascii="宋体" w:hAnsi="宋体"/>
          <w:bCs/>
          <w:sz w:val="24"/>
          <w:szCs w:val="24"/>
          <w:highlight w:val="none"/>
        </w:rPr>
        <w:t>且具备履行合同所必需的设备和专业技术能力。我公司（单位）愿针对本次项目（</w:t>
      </w:r>
      <w:r>
        <w:rPr>
          <w:rFonts w:hint="eastAsia" w:ascii="宋体" w:hAnsi="宋体"/>
          <w:bCs/>
          <w:sz w:val="24"/>
          <w:szCs w:val="24"/>
          <w:highlight w:val="none"/>
          <w:lang w:eastAsia="zh-CN"/>
        </w:rPr>
        <w:t>YXGQ2025333</w:t>
      </w:r>
      <w:r>
        <w:rPr>
          <w:rFonts w:hint="eastAsia" w:ascii="黑体" w:eastAsia="黑体"/>
          <w:bCs/>
          <w:sz w:val="24"/>
          <w:szCs w:val="24"/>
          <w:highlight w:val="none"/>
        </w:rPr>
        <w:t>）</w:t>
      </w:r>
      <w:r>
        <w:rPr>
          <w:rFonts w:hint="eastAsia" w:ascii="宋体" w:hAnsi="宋体"/>
          <w:bCs/>
          <w:sz w:val="24"/>
          <w:szCs w:val="24"/>
          <w:highlight w:val="none"/>
        </w:rPr>
        <w:t>进行投标，</w:t>
      </w:r>
      <w:r>
        <w:rPr>
          <w:rFonts w:hint="eastAsia" w:ascii="宋体" w:hAnsi="宋体"/>
          <w:sz w:val="24"/>
          <w:szCs w:val="24"/>
          <w:highlight w:val="none"/>
        </w:rPr>
        <w:t>所提供的货物均为原厂全新合格品，</w:t>
      </w:r>
      <w:r>
        <w:rPr>
          <w:rFonts w:hint="eastAsia" w:ascii="宋体" w:hAnsi="宋体"/>
          <w:bCs/>
          <w:sz w:val="24"/>
          <w:szCs w:val="24"/>
          <w:highlight w:val="none"/>
        </w:rPr>
        <w:t>投标文件中所有关于投标资格的文件、证明、陈述均是真实的、准确的。若有违背，我公司（单位）</w:t>
      </w:r>
      <w:r>
        <w:rPr>
          <w:rFonts w:ascii="宋体"/>
          <w:bCs/>
          <w:sz w:val="24"/>
          <w:szCs w:val="24"/>
          <w:highlight w:val="none"/>
        </w:rPr>
        <w:t>同意监管部门做出的相关决定并承担由此而产生的一切后果</w:t>
      </w:r>
      <w:r>
        <w:rPr>
          <w:rFonts w:hint="eastAsia" w:ascii="宋体"/>
          <w:bCs/>
          <w:sz w:val="24"/>
          <w:szCs w:val="24"/>
          <w:highlight w:val="none"/>
        </w:rPr>
        <w:t>。</w:t>
      </w:r>
    </w:p>
    <w:p w14:paraId="61960431">
      <w:pPr>
        <w:spacing w:line="480" w:lineRule="auto"/>
        <w:rPr>
          <w:rFonts w:ascii="宋体"/>
          <w:bCs/>
          <w:sz w:val="24"/>
          <w:szCs w:val="24"/>
          <w:highlight w:val="none"/>
        </w:rPr>
      </w:pPr>
    </w:p>
    <w:p w14:paraId="37E6F176">
      <w:pPr>
        <w:rPr>
          <w:rFonts w:ascii="宋体" w:hAnsi="宋体"/>
          <w:sz w:val="24"/>
          <w:szCs w:val="28"/>
          <w:highlight w:val="none"/>
        </w:rPr>
      </w:pPr>
      <w:bookmarkStart w:id="76" w:name="OLE_LINK81"/>
    </w:p>
    <w:p w14:paraId="310C81CA">
      <w:pPr>
        <w:jc w:val="center"/>
        <w:rPr>
          <w:rFonts w:ascii="宋体" w:hAnsi="宋体"/>
          <w:bCs/>
          <w:sz w:val="24"/>
          <w:highlight w:val="none"/>
          <w:lang w:val="zh-CN"/>
        </w:rPr>
      </w:pPr>
      <w:r>
        <w:rPr>
          <w:rFonts w:hint="eastAsia" w:ascii="宋体" w:hAnsi="宋体"/>
          <w:bCs/>
          <w:sz w:val="24"/>
          <w:highlight w:val="none"/>
          <w:lang w:val="zh-CN"/>
        </w:rPr>
        <w:t>投标人签名：</w:t>
      </w:r>
    </w:p>
    <w:p w14:paraId="0B2C880E">
      <w:pPr>
        <w:spacing w:line="360" w:lineRule="auto"/>
        <w:jc w:val="center"/>
        <w:rPr>
          <w:rFonts w:ascii="宋体" w:hAnsi="宋体"/>
          <w:bCs/>
          <w:sz w:val="24"/>
          <w:highlight w:val="none"/>
          <w:lang w:val="zh-CN"/>
        </w:rPr>
      </w:pPr>
      <w:r>
        <w:rPr>
          <w:rFonts w:hint="eastAsia" w:ascii="宋体" w:hAnsi="宋体"/>
          <w:bCs/>
          <w:sz w:val="24"/>
          <w:highlight w:val="none"/>
          <w:lang w:val="zh-CN"/>
        </w:rPr>
        <w:t>投标人公章：</w:t>
      </w:r>
    </w:p>
    <w:bookmarkEnd w:id="76"/>
    <w:p w14:paraId="4F6203DA">
      <w:pPr>
        <w:spacing w:line="360" w:lineRule="auto"/>
        <w:jc w:val="center"/>
        <w:rPr>
          <w:rFonts w:ascii="黑体" w:eastAsia="黑体"/>
          <w:bCs/>
          <w:sz w:val="28"/>
          <w:szCs w:val="28"/>
          <w:highlight w:val="none"/>
        </w:rPr>
      </w:pPr>
      <w:bookmarkStart w:id="77" w:name="OLE_LINK36"/>
    </w:p>
    <w:p w14:paraId="31A7422F">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14DD30">
                            <w:pPr>
                              <w:jc w:val="left"/>
                              <w:rPr>
                                <w:rFonts w:ascii="黑体" w:eastAsia="黑体"/>
                                <w:sz w:val="32"/>
                                <w:szCs w:val="32"/>
                              </w:rPr>
                            </w:pPr>
                          </w:p>
                          <w:p w14:paraId="4EEFE63F">
                            <w:pPr>
                              <w:jc w:val="center"/>
                              <w:rPr>
                                <w:rFonts w:ascii="楷体_GB2312" w:eastAsia="楷体_GB2312"/>
                                <w:sz w:val="28"/>
                                <w:szCs w:val="28"/>
                              </w:rPr>
                            </w:pPr>
                            <w:r>
                              <w:rPr>
                                <w:rFonts w:hint="eastAsia" w:ascii="楷体_GB2312" w:eastAsia="楷体_GB2312"/>
                                <w:sz w:val="28"/>
                                <w:szCs w:val="28"/>
                              </w:rPr>
                              <w:t>法定代表人身份证复印件</w:t>
                            </w:r>
                          </w:p>
                          <w:p w14:paraId="4378D72B">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CJkmk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o6o8QygwU/&#10;/Pp5+P338OcHuUj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QiZJpDQIAADcEAAAOAAAAAAAA&#10;AAEAIAAAACgBAABkcnMvZTJvRG9jLnhtbFBLBQYAAAAABgAGAFkBAACnBQAAAAA=&#10;">
                <v:fill on="t" focussize="0,0"/>
                <v:stroke color="#000000" joinstyle="miter"/>
                <v:imagedata o:title=""/>
                <o:lock v:ext="edit" aspectratio="f"/>
                <v:textbox>
                  <w:txbxContent>
                    <w:p w14:paraId="3A14DD30">
                      <w:pPr>
                        <w:jc w:val="left"/>
                        <w:rPr>
                          <w:rFonts w:ascii="黑体" w:eastAsia="黑体"/>
                          <w:sz w:val="32"/>
                          <w:szCs w:val="32"/>
                        </w:rPr>
                      </w:pPr>
                    </w:p>
                    <w:p w14:paraId="4EEFE63F">
                      <w:pPr>
                        <w:jc w:val="center"/>
                        <w:rPr>
                          <w:rFonts w:ascii="楷体_GB2312" w:eastAsia="楷体_GB2312"/>
                          <w:sz w:val="28"/>
                          <w:szCs w:val="28"/>
                        </w:rPr>
                      </w:pPr>
                      <w:r>
                        <w:rPr>
                          <w:rFonts w:hint="eastAsia" w:ascii="楷体_GB2312" w:eastAsia="楷体_GB2312"/>
                          <w:sz w:val="28"/>
                          <w:szCs w:val="28"/>
                        </w:rPr>
                        <w:t>法定代表人身份证复印件</w:t>
                      </w:r>
                    </w:p>
                    <w:p w14:paraId="4378D72B">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0AAF5B">
                            <w:pPr>
                              <w:jc w:val="left"/>
                              <w:rPr>
                                <w:rFonts w:ascii="黑体" w:eastAsia="黑体"/>
                                <w:sz w:val="32"/>
                                <w:szCs w:val="32"/>
                              </w:rPr>
                            </w:pPr>
                          </w:p>
                          <w:p w14:paraId="3F7CD22F">
                            <w:pPr>
                              <w:jc w:val="center"/>
                              <w:rPr>
                                <w:rFonts w:ascii="楷体_GB2312" w:eastAsia="楷体_GB2312"/>
                                <w:sz w:val="28"/>
                                <w:szCs w:val="28"/>
                              </w:rPr>
                            </w:pPr>
                            <w:r>
                              <w:rPr>
                                <w:rFonts w:hint="eastAsia" w:ascii="楷体_GB2312" w:eastAsia="楷体_GB2312"/>
                                <w:sz w:val="28"/>
                                <w:szCs w:val="28"/>
                              </w:rPr>
                              <w:t>法定代表人身份证复印件</w:t>
                            </w:r>
                          </w:p>
                          <w:p w14:paraId="479A29DE">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QWNF2AAAAAgBAAAPAAAAAAAAAAEAIAAAACIA&#10;AABkcnMvZG93bnJldi54bWxQSwECFAAUAAAACACHTuJAKGSXPgkCAAA3BAAADgAAAAAAAAABACAA&#10;AAAnAQAAZHJzL2Uyb0RvYy54bWxQSwUGAAAAAAYABgBZAQAAogUAAAAA&#10;">
                <v:fill on="t" focussize="0,0"/>
                <v:stroke color="#000000" joinstyle="miter"/>
                <v:imagedata o:title=""/>
                <o:lock v:ext="edit" aspectratio="f"/>
                <v:textbox>
                  <w:txbxContent>
                    <w:p w14:paraId="310AAF5B">
                      <w:pPr>
                        <w:jc w:val="left"/>
                        <w:rPr>
                          <w:rFonts w:ascii="黑体" w:eastAsia="黑体"/>
                          <w:sz w:val="32"/>
                          <w:szCs w:val="32"/>
                        </w:rPr>
                      </w:pPr>
                    </w:p>
                    <w:p w14:paraId="3F7CD22F">
                      <w:pPr>
                        <w:jc w:val="center"/>
                        <w:rPr>
                          <w:rFonts w:ascii="楷体_GB2312" w:eastAsia="楷体_GB2312"/>
                          <w:sz w:val="28"/>
                          <w:szCs w:val="28"/>
                        </w:rPr>
                      </w:pPr>
                      <w:r>
                        <w:rPr>
                          <w:rFonts w:hint="eastAsia" w:ascii="楷体_GB2312" w:eastAsia="楷体_GB2312"/>
                          <w:sz w:val="28"/>
                          <w:szCs w:val="28"/>
                        </w:rPr>
                        <w:t>法定代表人身份证复印件</w:t>
                      </w:r>
                    </w:p>
                    <w:p w14:paraId="479A29DE">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6F37AD88">
      <w:pPr>
        <w:spacing w:line="360" w:lineRule="auto"/>
        <w:rPr>
          <w:rFonts w:ascii="黑体" w:eastAsia="黑体"/>
          <w:bCs/>
          <w:sz w:val="28"/>
          <w:szCs w:val="28"/>
          <w:highlight w:val="none"/>
        </w:rPr>
      </w:pPr>
    </w:p>
    <w:p w14:paraId="635394AB">
      <w:pPr>
        <w:spacing w:line="360" w:lineRule="auto"/>
        <w:jc w:val="center"/>
        <w:rPr>
          <w:rFonts w:ascii="黑体" w:eastAsia="黑体"/>
          <w:bCs/>
          <w:sz w:val="28"/>
          <w:szCs w:val="28"/>
          <w:highlight w:val="none"/>
        </w:rPr>
      </w:pPr>
    </w:p>
    <w:p w14:paraId="4CB90E4B">
      <w:pPr>
        <w:spacing w:line="360" w:lineRule="auto"/>
        <w:jc w:val="center"/>
        <w:rPr>
          <w:rFonts w:ascii="黑体" w:eastAsia="黑体"/>
          <w:bCs/>
          <w:sz w:val="28"/>
          <w:szCs w:val="28"/>
          <w:highlight w:val="none"/>
        </w:rPr>
      </w:pPr>
    </w:p>
    <w:bookmarkEnd w:id="77"/>
    <w:p w14:paraId="2290D337">
      <w:pPr>
        <w:spacing w:line="360" w:lineRule="auto"/>
        <w:rPr>
          <w:rFonts w:ascii="黑体" w:eastAsia="黑体"/>
          <w:bCs/>
          <w:sz w:val="28"/>
          <w:szCs w:val="28"/>
          <w:highlight w:val="none"/>
        </w:rPr>
      </w:pPr>
    </w:p>
    <w:p w14:paraId="697B2407">
      <w:pPr>
        <w:ind w:firstLine="480" w:firstLineChars="200"/>
        <w:rPr>
          <w:rFonts w:ascii="宋体" w:hAnsi="宋体"/>
          <w:sz w:val="24"/>
          <w:szCs w:val="28"/>
          <w:highlight w:val="none"/>
        </w:rPr>
      </w:pPr>
      <w:r>
        <w:rPr>
          <w:rFonts w:ascii="黑体" w:hAnsi="宋体" w:eastAsia="黑体"/>
          <w:bCs/>
          <w:sz w:val="24"/>
          <w:szCs w:val="24"/>
          <w:highlight w:val="none"/>
        </w:rPr>
        <w:br w:type="page"/>
      </w:r>
      <w:r>
        <w:rPr>
          <w:rFonts w:hint="eastAsia" w:ascii="黑体" w:hAnsi="宋体" w:eastAsia="黑体"/>
          <w:bCs/>
          <w:sz w:val="24"/>
          <w:szCs w:val="24"/>
          <w:highlight w:val="none"/>
        </w:rPr>
        <w:t>2、法定代表人授权委托书（格式）：</w:t>
      </w:r>
    </w:p>
    <w:p w14:paraId="4942A235">
      <w:pPr>
        <w:spacing w:beforeLines="50" w:afterLines="50"/>
        <w:jc w:val="center"/>
        <w:rPr>
          <w:rFonts w:ascii="黑体" w:hAnsi="黑体" w:eastAsia="黑体"/>
          <w:sz w:val="28"/>
          <w:szCs w:val="28"/>
          <w:highlight w:val="none"/>
        </w:rPr>
      </w:pPr>
      <w:r>
        <w:rPr>
          <w:rFonts w:hint="eastAsia" w:ascii="黑体" w:hAnsi="黑体" w:eastAsia="黑体"/>
          <w:sz w:val="28"/>
          <w:szCs w:val="28"/>
          <w:highlight w:val="none"/>
        </w:rPr>
        <w:t>法定代表人授权书</w:t>
      </w:r>
    </w:p>
    <w:p w14:paraId="43BDA7E7">
      <w:pPr>
        <w:jc w:val="center"/>
        <w:rPr>
          <w:rFonts w:ascii="宋体" w:hAnsi="宋体"/>
          <w:sz w:val="24"/>
          <w:szCs w:val="28"/>
          <w:highlight w:val="none"/>
        </w:rPr>
      </w:pPr>
    </w:p>
    <w:p w14:paraId="7FBF1A3F">
      <w:pPr>
        <w:tabs>
          <w:tab w:val="left" w:pos="255"/>
        </w:tabs>
        <w:spacing w:line="360" w:lineRule="auto"/>
        <w:ind w:left="420" w:leftChars="200"/>
        <w:jc w:val="right"/>
        <w:rPr>
          <w:rFonts w:ascii="宋体" w:hAnsi="宋体"/>
          <w:sz w:val="24"/>
          <w:szCs w:val="21"/>
          <w:highlight w:val="none"/>
          <w:lang w:val="zh-CN"/>
        </w:rPr>
      </w:pPr>
      <w:r>
        <w:rPr>
          <w:rFonts w:hint="eastAsia" w:ascii="宋体" w:hAnsi="宋体"/>
          <w:sz w:val="24"/>
          <w:szCs w:val="21"/>
          <w:highlight w:val="none"/>
          <w:lang w:val="zh-CN"/>
        </w:rPr>
        <w:t xml:space="preserve">项目编号：YXGQ2025333 </w:t>
      </w:r>
    </w:p>
    <w:p w14:paraId="3BC76350">
      <w:pPr>
        <w:tabs>
          <w:tab w:val="left" w:pos="255"/>
        </w:tabs>
        <w:spacing w:line="360" w:lineRule="auto"/>
        <w:ind w:left="420" w:leftChars="200"/>
        <w:jc w:val="right"/>
        <w:rPr>
          <w:rFonts w:ascii="宋体" w:hAnsi="宋体"/>
          <w:sz w:val="24"/>
          <w:szCs w:val="21"/>
          <w:highlight w:val="none"/>
          <w:lang w:val="zh-CN"/>
        </w:rPr>
      </w:pPr>
      <w:r>
        <w:rPr>
          <w:rFonts w:hint="eastAsia" w:ascii="宋体" w:hAnsi="宋体"/>
          <w:sz w:val="24"/>
          <w:szCs w:val="21"/>
          <w:highlight w:val="none"/>
          <w:lang w:val="zh-CN"/>
        </w:rPr>
        <w:t xml:space="preserve">  日期：</w:t>
      </w:r>
    </w:p>
    <w:p w14:paraId="447C4CB2">
      <w:pPr>
        <w:tabs>
          <w:tab w:val="left" w:pos="255"/>
        </w:tabs>
        <w:spacing w:line="360" w:lineRule="auto"/>
        <w:ind w:left="420" w:leftChars="200"/>
        <w:rPr>
          <w:rFonts w:ascii="宋体" w:hAnsi="宋体" w:eastAsia="宋体" w:cs="Times New Roman"/>
          <w:sz w:val="24"/>
          <w:szCs w:val="21"/>
          <w:highlight w:val="none"/>
          <w:lang w:val="zh-CN"/>
        </w:rPr>
      </w:pPr>
      <w:r>
        <w:rPr>
          <w:rFonts w:hint="eastAsia" w:ascii="宋体" w:hAnsi="宋体" w:eastAsia="宋体" w:cs="Times New Roman"/>
          <w:bCs/>
          <w:sz w:val="24"/>
          <w:szCs w:val="24"/>
          <w:highlight w:val="none"/>
        </w:rPr>
        <w:t>宜兴市公用投资管理有限公司、</w:t>
      </w:r>
      <w:r>
        <w:rPr>
          <w:rFonts w:hint="eastAsia" w:ascii="宋体" w:hAnsi="宋体" w:eastAsia="宋体" w:cs="Times New Roman"/>
          <w:sz w:val="24"/>
          <w:szCs w:val="21"/>
          <w:highlight w:val="none"/>
          <w:lang w:val="zh-CN"/>
        </w:rPr>
        <w:t>江苏益诚建设工程咨询有限公司：</w:t>
      </w:r>
    </w:p>
    <w:p w14:paraId="12A0F212">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系中华人民共和国合法企业。法定地址：特授权</w:t>
      </w:r>
      <w:r>
        <w:rPr>
          <w:rFonts w:hint="eastAsia" w:ascii="宋体" w:hAnsi="宋体" w:eastAsia="宋体" w:cs="Times New Roman"/>
          <w:sz w:val="24"/>
          <w:szCs w:val="21"/>
          <w:highlight w:val="none"/>
          <w:u w:val="single"/>
          <w:lang w:val="en-US" w:eastAsia="zh-CN"/>
        </w:rPr>
        <w:t xml:space="preserve">    </w:t>
      </w:r>
      <w:r>
        <w:rPr>
          <w:rFonts w:hint="eastAsia" w:ascii="宋体" w:hAnsi="宋体" w:eastAsia="宋体" w:cs="Times New Roman"/>
          <w:sz w:val="24"/>
          <w:szCs w:val="21"/>
          <w:highlight w:val="none"/>
          <w:lang w:val="zh-CN"/>
        </w:rPr>
        <w:t>代表我公司</w:t>
      </w: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全权办理针对上述项目的投标、参与开标、谈判、签约等具体工作，并签署全部有关的文件、协议及合同。</w:t>
      </w:r>
    </w:p>
    <w:p w14:paraId="3907493C">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我公司</w:t>
      </w: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对被授权代表人的签名负全部责任。</w:t>
      </w:r>
    </w:p>
    <w:p w14:paraId="312A7DFA">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在撤销授权的书面通知送达你处以前，本授权书一直有效，被授权代表人签署的所有文件（在授权书有效期内签署的）不因授权的撤销而失效。</w:t>
      </w:r>
    </w:p>
    <w:p w14:paraId="3AD9C31A">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被授权代表人情况：</w:t>
      </w:r>
    </w:p>
    <w:p w14:paraId="62CF65BE">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姓名：           性别：        年龄：         职务：</w:t>
      </w:r>
    </w:p>
    <w:p w14:paraId="6C5B8D9E">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身份证号码：                   手机号码：</w:t>
      </w:r>
    </w:p>
    <w:p w14:paraId="752070D8">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办公电话：                     传真：</w:t>
      </w:r>
    </w:p>
    <w:p w14:paraId="671A3F95">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通讯地址：</w:t>
      </w:r>
    </w:p>
    <w:p w14:paraId="0C83380A">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被授权代表人签名：                  单位名称（公章）：</w:t>
      </w:r>
    </w:p>
    <w:p w14:paraId="0E6FFBD3">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 xml:space="preserve">                                    法定代表人签名：</w:t>
      </w:r>
    </w:p>
    <w:p w14:paraId="75207551">
      <w:pPr>
        <w:spacing w:line="360" w:lineRule="auto"/>
        <w:rPr>
          <w:rFonts w:ascii="黑体" w:hAnsi="Calibri" w:eastAsia="黑体" w:cs="Times New Roman"/>
          <w:bCs/>
          <w:sz w:val="28"/>
          <w:szCs w:val="28"/>
          <w:highlight w:val="none"/>
        </w:rPr>
      </w:pPr>
    </w:p>
    <w:p w14:paraId="10AC0098">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763BF9">
                            <w:pPr>
                              <w:jc w:val="left"/>
                              <w:rPr>
                                <w:rFonts w:ascii="黑体" w:eastAsia="黑体"/>
                                <w:sz w:val="32"/>
                                <w:szCs w:val="32"/>
                              </w:rPr>
                            </w:pPr>
                          </w:p>
                          <w:p w14:paraId="59D14B19">
                            <w:pPr>
                              <w:jc w:val="center"/>
                              <w:rPr>
                                <w:rFonts w:ascii="楷体_GB2312" w:eastAsia="楷体_GB2312"/>
                                <w:sz w:val="28"/>
                                <w:szCs w:val="28"/>
                              </w:rPr>
                            </w:pPr>
                            <w:r>
                              <w:rPr>
                                <w:rFonts w:hint="eastAsia" w:ascii="楷体_GB2312" w:eastAsia="楷体_GB2312"/>
                                <w:sz w:val="28"/>
                                <w:szCs w:val="28"/>
                              </w:rPr>
                              <w:t>被授权代表身份证复印件</w:t>
                            </w:r>
                          </w:p>
                          <w:p w14:paraId="0503D2EC">
                            <w:pPr>
                              <w:jc w:val="center"/>
                              <w:rPr>
                                <w:rFonts w:ascii="楷体_GB2312" w:eastAsia="楷体_GB2312"/>
                                <w:sz w:val="28"/>
                                <w:szCs w:val="28"/>
                              </w:rPr>
                            </w:pPr>
                            <w:r>
                              <w:rPr>
                                <w:rFonts w:hint="eastAsia" w:ascii="楷体_GB2312" w:eastAsia="楷体_GB2312"/>
                                <w:sz w:val="28"/>
                                <w:szCs w:val="28"/>
                              </w:rPr>
                              <w:t>反面</w:t>
                            </w:r>
                          </w:p>
                          <w:p w14:paraId="6293553C">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tMxH0NAgAANwQAAA4AAABkcnMvZTJvRG9jLnhtbK1T&#10;S44TMRDdI3EHy3vSnTA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fF1ezqc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CbTMR9DQIAADcEAAAOAAAAAAAA&#10;AAEAIAAAACgBAABkcnMvZTJvRG9jLnhtbFBLBQYAAAAABgAGAFkBAACnBQAAAAA=&#10;">
                <v:fill on="t" focussize="0,0"/>
                <v:stroke color="#000000" joinstyle="miter"/>
                <v:imagedata o:title=""/>
                <o:lock v:ext="edit" aspectratio="f"/>
                <v:textbox>
                  <w:txbxContent>
                    <w:p w14:paraId="21763BF9">
                      <w:pPr>
                        <w:jc w:val="left"/>
                        <w:rPr>
                          <w:rFonts w:ascii="黑体" w:eastAsia="黑体"/>
                          <w:sz w:val="32"/>
                          <w:szCs w:val="32"/>
                        </w:rPr>
                      </w:pPr>
                    </w:p>
                    <w:p w14:paraId="59D14B19">
                      <w:pPr>
                        <w:jc w:val="center"/>
                        <w:rPr>
                          <w:rFonts w:ascii="楷体_GB2312" w:eastAsia="楷体_GB2312"/>
                          <w:sz w:val="28"/>
                          <w:szCs w:val="28"/>
                        </w:rPr>
                      </w:pPr>
                      <w:r>
                        <w:rPr>
                          <w:rFonts w:hint="eastAsia" w:ascii="楷体_GB2312" w:eastAsia="楷体_GB2312"/>
                          <w:sz w:val="28"/>
                          <w:szCs w:val="28"/>
                        </w:rPr>
                        <w:t>被授权代表身份证复印件</w:t>
                      </w:r>
                    </w:p>
                    <w:p w14:paraId="0503D2EC">
                      <w:pPr>
                        <w:jc w:val="center"/>
                        <w:rPr>
                          <w:rFonts w:ascii="楷体_GB2312" w:eastAsia="楷体_GB2312"/>
                          <w:sz w:val="28"/>
                          <w:szCs w:val="28"/>
                        </w:rPr>
                      </w:pPr>
                      <w:r>
                        <w:rPr>
                          <w:rFonts w:hint="eastAsia" w:ascii="楷体_GB2312" w:eastAsia="楷体_GB2312"/>
                          <w:sz w:val="28"/>
                          <w:szCs w:val="28"/>
                        </w:rPr>
                        <w:t>反面</w:t>
                      </w:r>
                    </w:p>
                    <w:p w14:paraId="6293553C">
                      <w:pPr>
                        <w:jc w:val="center"/>
                        <w:rPr>
                          <w:rFonts w:ascii="楷体_GB2312" w:eastAsia="楷体_GB2312"/>
                          <w:sz w:val="28"/>
                          <w:szCs w:val="28"/>
                        </w:rPr>
                      </w:pP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99E514">
                            <w:pPr>
                              <w:jc w:val="left"/>
                              <w:rPr>
                                <w:rFonts w:ascii="黑体" w:eastAsia="黑体"/>
                                <w:sz w:val="32"/>
                                <w:szCs w:val="32"/>
                              </w:rPr>
                            </w:pPr>
                          </w:p>
                          <w:p w14:paraId="147C1D82">
                            <w:pPr>
                              <w:jc w:val="center"/>
                              <w:rPr>
                                <w:rFonts w:ascii="楷体_GB2312" w:eastAsia="楷体_GB2312"/>
                                <w:sz w:val="28"/>
                                <w:szCs w:val="28"/>
                              </w:rPr>
                            </w:pPr>
                            <w:r>
                              <w:rPr>
                                <w:rFonts w:hint="eastAsia" w:ascii="楷体_GB2312" w:eastAsia="楷体_GB2312"/>
                                <w:sz w:val="28"/>
                                <w:szCs w:val="28"/>
                              </w:rPr>
                              <w:t>被授权代表身份证复印件</w:t>
                            </w:r>
                          </w:p>
                          <w:p w14:paraId="18FDC136">
                            <w:pPr>
                              <w:jc w:val="center"/>
                              <w:rPr>
                                <w:rFonts w:ascii="楷体_GB2312" w:eastAsia="楷体_GB2312"/>
                                <w:sz w:val="28"/>
                                <w:szCs w:val="28"/>
                              </w:rPr>
                            </w:pPr>
                            <w:r>
                              <w:rPr>
                                <w:rFonts w:hint="eastAsia" w:ascii="楷体_GB2312" w:eastAsia="楷体_GB2312"/>
                                <w:sz w:val="28"/>
                                <w:szCs w:val="28"/>
                              </w:rPr>
                              <w:t>正面</w:t>
                            </w:r>
                          </w:p>
                          <w:p w14:paraId="557942D7">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ebm7gsCAAA3BAAADgAAAGRycy9lMm9Eb2MueG1srVNN&#10;rtMwEN4jcQfLe5q0j/Jo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oqZXlFhmsOHH&#10;H9+PP38ff30jL5M8vYcKUbcecXF44wYcmjs/oDNVPTTBpD/WQ/AcxT2cxZVDJByds8ViMS3nlHA8&#10;m5XX5fXV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AV5ubuCwIAADcEAAAOAAAAAAAAAAEA&#10;IAAAACcBAABkcnMvZTJvRG9jLnhtbFBLBQYAAAAABgAGAFkBAACkBQAAAAA=&#10;">
                <v:fill on="t" focussize="0,0"/>
                <v:stroke color="#000000" joinstyle="miter"/>
                <v:imagedata o:title=""/>
                <o:lock v:ext="edit" aspectratio="f"/>
                <v:textbox>
                  <w:txbxContent>
                    <w:p w14:paraId="5799E514">
                      <w:pPr>
                        <w:jc w:val="left"/>
                        <w:rPr>
                          <w:rFonts w:ascii="黑体" w:eastAsia="黑体"/>
                          <w:sz w:val="32"/>
                          <w:szCs w:val="32"/>
                        </w:rPr>
                      </w:pPr>
                    </w:p>
                    <w:p w14:paraId="147C1D82">
                      <w:pPr>
                        <w:jc w:val="center"/>
                        <w:rPr>
                          <w:rFonts w:ascii="楷体_GB2312" w:eastAsia="楷体_GB2312"/>
                          <w:sz w:val="28"/>
                          <w:szCs w:val="28"/>
                        </w:rPr>
                      </w:pPr>
                      <w:r>
                        <w:rPr>
                          <w:rFonts w:hint="eastAsia" w:ascii="楷体_GB2312" w:eastAsia="楷体_GB2312"/>
                          <w:sz w:val="28"/>
                          <w:szCs w:val="28"/>
                        </w:rPr>
                        <w:t>被授权代表身份证复印件</w:t>
                      </w:r>
                    </w:p>
                    <w:p w14:paraId="18FDC136">
                      <w:pPr>
                        <w:jc w:val="center"/>
                        <w:rPr>
                          <w:rFonts w:ascii="楷体_GB2312" w:eastAsia="楷体_GB2312"/>
                          <w:sz w:val="28"/>
                          <w:szCs w:val="28"/>
                        </w:rPr>
                      </w:pPr>
                      <w:r>
                        <w:rPr>
                          <w:rFonts w:hint="eastAsia" w:ascii="楷体_GB2312" w:eastAsia="楷体_GB2312"/>
                          <w:sz w:val="28"/>
                          <w:szCs w:val="28"/>
                        </w:rPr>
                        <w:t>正面</w:t>
                      </w:r>
                    </w:p>
                    <w:p w14:paraId="557942D7">
                      <w:pPr>
                        <w:jc w:val="center"/>
                        <w:rPr>
                          <w:rFonts w:ascii="楷体_GB2312" w:eastAsia="楷体_GB2312"/>
                          <w:sz w:val="28"/>
                          <w:szCs w:val="28"/>
                        </w:rPr>
                      </w:pPr>
                    </w:p>
                  </w:txbxContent>
                </v:textbox>
              </v:shape>
            </w:pict>
          </mc:Fallback>
        </mc:AlternateContent>
      </w:r>
    </w:p>
    <w:p w14:paraId="1F2377E1">
      <w:pPr>
        <w:spacing w:line="360" w:lineRule="auto"/>
        <w:rPr>
          <w:rFonts w:ascii="黑体" w:eastAsia="黑体"/>
          <w:bCs/>
          <w:sz w:val="28"/>
          <w:szCs w:val="28"/>
          <w:highlight w:val="none"/>
        </w:rPr>
      </w:pPr>
    </w:p>
    <w:p w14:paraId="21BDF7EB">
      <w:pPr>
        <w:spacing w:line="360" w:lineRule="auto"/>
        <w:jc w:val="center"/>
        <w:rPr>
          <w:rFonts w:ascii="黑体" w:eastAsia="黑体"/>
          <w:bCs/>
          <w:sz w:val="28"/>
          <w:szCs w:val="28"/>
          <w:highlight w:val="none"/>
        </w:rPr>
      </w:pPr>
    </w:p>
    <w:p w14:paraId="7D604DDE">
      <w:pPr>
        <w:spacing w:line="360" w:lineRule="auto"/>
        <w:jc w:val="center"/>
        <w:rPr>
          <w:rFonts w:ascii="黑体" w:eastAsia="黑体"/>
          <w:bCs/>
          <w:sz w:val="28"/>
          <w:szCs w:val="28"/>
          <w:highlight w:val="none"/>
        </w:rPr>
      </w:pPr>
    </w:p>
    <w:p w14:paraId="60172E7B">
      <w:pPr>
        <w:spacing w:line="360" w:lineRule="auto"/>
        <w:ind w:firstLine="480" w:firstLineChars="200"/>
        <w:rPr>
          <w:rFonts w:ascii="黑体" w:hAnsi="宋体" w:eastAsia="黑体"/>
          <w:bCs/>
          <w:sz w:val="24"/>
          <w:szCs w:val="24"/>
          <w:highlight w:val="none"/>
        </w:rPr>
      </w:pPr>
    </w:p>
    <w:p w14:paraId="50441401">
      <w:pPr>
        <w:rPr>
          <w:rFonts w:ascii="黑体" w:hAnsi="宋体" w:eastAsia="黑体"/>
          <w:bCs/>
          <w:sz w:val="24"/>
          <w:szCs w:val="24"/>
          <w:highlight w:val="none"/>
        </w:rPr>
      </w:pPr>
    </w:p>
    <w:p w14:paraId="73C05F32">
      <w:pPr>
        <w:ind w:firstLine="480" w:firstLineChars="200"/>
        <w:rPr>
          <w:rFonts w:ascii="黑体" w:hAnsi="宋体" w:eastAsia="黑体"/>
          <w:bCs/>
          <w:sz w:val="24"/>
          <w:szCs w:val="24"/>
          <w:highlight w:val="none"/>
        </w:rPr>
      </w:pPr>
      <w:bookmarkStart w:id="78" w:name="_Toc27231"/>
    </w:p>
    <w:p w14:paraId="095161BF">
      <w:pPr>
        <w:ind w:firstLine="480" w:firstLineChars="200"/>
        <w:rPr>
          <w:rFonts w:ascii="黑体" w:hAnsi="宋体" w:eastAsia="黑体"/>
          <w:bCs/>
          <w:sz w:val="24"/>
          <w:szCs w:val="24"/>
          <w:highlight w:val="none"/>
        </w:rPr>
      </w:pPr>
    </w:p>
    <w:p w14:paraId="668ED7A5">
      <w:pPr>
        <w:ind w:firstLine="480" w:firstLineChars="200"/>
        <w:rPr>
          <w:rFonts w:ascii="黑体" w:hAnsi="宋体" w:eastAsia="黑体"/>
          <w:bCs/>
          <w:sz w:val="24"/>
          <w:szCs w:val="24"/>
          <w:highlight w:val="none"/>
        </w:rPr>
      </w:pPr>
    </w:p>
    <w:p w14:paraId="716FB8E0">
      <w:pPr>
        <w:ind w:firstLine="480" w:firstLineChars="200"/>
        <w:rPr>
          <w:rFonts w:ascii="黑体" w:hAnsi="宋体" w:eastAsia="黑体"/>
          <w:bCs/>
          <w:sz w:val="24"/>
          <w:szCs w:val="24"/>
          <w:highlight w:val="none"/>
        </w:rPr>
      </w:pPr>
    </w:p>
    <w:p w14:paraId="52FFCFF2">
      <w:pPr>
        <w:rPr>
          <w:rFonts w:ascii="黑体" w:hAnsi="宋体" w:eastAsia="黑体"/>
          <w:bCs/>
          <w:sz w:val="24"/>
          <w:szCs w:val="24"/>
          <w:highlight w:val="none"/>
        </w:rPr>
      </w:pPr>
      <w:r>
        <w:rPr>
          <w:rFonts w:hint="eastAsia" w:ascii="黑体" w:hAnsi="宋体" w:eastAsia="黑体"/>
          <w:bCs/>
          <w:sz w:val="24"/>
          <w:szCs w:val="24"/>
          <w:highlight w:val="none"/>
        </w:rPr>
        <w:t>3、资格性证明材料复印件：</w:t>
      </w:r>
      <w:bookmarkEnd w:id="78"/>
    </w:p>
    <w:p w14:paraId="543D2E51">
      <w:pPr>
        <w:spacing w:beforeLines="50" w:afterLines="50" w:line="480" w:lineRule="auto"/>
        <w:jc w:val="center"/>
        <w:rPr>
          <w:rFonts w:ascii="宋体" w:hAnsi="宋体"/>
          <w:bCs/>
          <w:sz w:val="24"/>
          <w:szCs w:val="24"/>
          <w:highlight w:val="none"/>
        </w:rPr>
      </w:pPr>
      <w:r>
        <w:rPr>
          <w:rFonts w:hint="eastAsia" w:ascii="黑体" w:hAnsi="黑体" w:eastAsia="黑体"/>
          <w:bCs/>
          <w:sz w:val="28"/>
          <w:szCs w:val="24"/>
          <w:highlight w:val="none"/>
        </w:rPr>
        <w:t>资格性证明材料</w:t>
      </w:r>
    </w:p>
    <w:p w14:paraId="0A8DF623">
      <w:pPr>
        <w:spacing w:line="480" w:lineRule="auto"/>
        <w:jc w:val="center"/>
        <w:rPr>
          <w:rFonts w:ascii="宋体"/>
          <w:bCs/>
          <w:sz w:val="24"/>
          <w:szCs w:val="24"/>
          <w:highlight w:val="none"/>
        </w:rPr>
      </w:pPr>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YXGQ2025333</w:t>
      </w:r>
      <w:r>
        <w:rPr>
          <w:rFonts w:hint="eastAsia" w:ascii="宋体" w:hAnsi="宋体"/>
          <w:bCs/>
          <w:sz w:val="24"/>
          <w:szCs w:val="24"/>
          <w:highlight w:val="none"/>
        </w:rPr>
        <w:t xml:space="preserve"> </w:t>
      </w:r>
    </w:p>
    <w:p w14:paraId="1A85222C">
      <w:pPr>
        <w:spacing w:line="360" w:lineRule="auto"/>
        <w:jc w:val="center"/>
        <w:rPr>
          <w:rFonts w:ascii="宋体" w:hAnsi="宋体"/>
          <w:bCs/>
          <w:sz w:val="24"/>
          <w:szCs w:val="24"/>
          <w:highlight w:val="none"/>
        </w:rPr>
      </w:pPr>
      <w:r>
        <w:rPr>
          <w:rFonts w:hint="eastAsia" w:ascii="宋体" w:hAnsi="宋体"/>
          <w:bCs/>
          <w:sz w:val="24"/>
          <w:szCs w:val="24"/>
          <w:highlight w:val="none"/>
        </w:rPr>
        <w:t xml:space="preserve">                   日期：</w:t>
      </w:r>
    </w:p>
    <w:p w14:paraId="45EAEB27">
      <w:pPr>
        <w:spacing w:line="480" w:lineRule="auto"/>
        <w:rPr>
          <w:rFonts w:ascii="宋体" w:hAnsi="宋体" w:cs="宋体"/>
          <w:sz w:val="24"/>
          <w:szCs w:val="24"/>
          <w:highlight w:val="none"/>
        </w:rPr>
      </w:pPr>
      <w:r>
        <w:rPr>
          <w:rFonts w:hint="eastAsia" w:ascii="宋体" w:hAnsi="宋体"/>
          <w:bCs/>
          <w:sz w:val="24"/>
          <w:szCs w:val="24"/>
          <w:highlight w:val="none"/>
        </w:rPr>
        <w:t>投标人应按以下顺序提供相关材料复印件：</w:t>
      </w:r>
    </w:p>
    <w:p w14:paraId="330F2986">
      <w:pPr>
        <w:numPr>
          <w:ilvl w:val="0"/>
          <w:numId w:val="17"/>
        </w:numPr>
        <w:tabs>
          <w:tab w:val="left" w:pos="420"/>
          <w:tab w:val="left" w:pos="945"/>
          <w:tab w:val="left" w:pos="1155"/>
        </w:tabs>
        <w:spacing w:line="360" w:lineRule="auto"/>
        <w:ind w:firstLine="480"/>
        <w:rPr>
          <w:color w:val="auto"/>
        </w:rPr>
      </w:pPr>
      <w:r>
        <w:rPr>
          <w:rFonts w:hint="eastAsia" w:ascii="宋体" w:hAnsi="宋体"/>
          <w:color w:val="auto"/>
          <w:sz w:val="24"/>
          <w:szCs w:val="24"/>
          <w:highlight w:val="none"/>
        </w:rPr>
        <w:t>具有独立承担民事责任能力的专业生产厂家</w:t>
      </w:r>
      <w:r>
        <w:rPr>
          <w:rFonts w:hint="eastAsia" w:ascii="宋体" w:hAnsi="宋体"/>
          <w:color w:val="auto"/>
          <w:sz w:val="24"/>
          <w:szCs w:val="21"/>
          <w:highlight w:val="none"/>
          <w:lang w:val="zh-CN"/>
        </w:rPr>
        <w:t>营业执照或法人（登记）证书复印件；(</w:t>
      </w:r>
      <w:r>
        <w:rPr>
          <w:rFonts w:hint="eastAsia" w:ascii="宋体" w:hAnsi="宋体"/>
          <w:b/>
          <w:bCs/>
          <w:color w:val="auto"/>
          <w:sz w:val="24"/>
          <w:szCs w:val="24"/>
          <w:highlight w:val="none"/>
        </w:rPr>
        <w:t>投标时必须提交相应原件或公证件）</w:t>
      </w:r>
    </w:p>
    <w:p w14:paraId="16043D5F">
      <w:pPr>
        <w:numPr>
          <w:ilvl w:val="0"/>
          <w:numId w:val="17"/>
        </w:numPr>
        <w:tabs>
          <w:tab w:val="left" w:pos="420"/>
          <w:tab w:val="left" w:pos="945"/>
          <w:tab w:val="left" w:pos="1155"/>
        </w:tabs>
        <w:spacing w:line="360" w:lineRule="auto"/>
        <w:ind w:firstLine="480"/>
        <w:rPr>
          <w:rFonts w:ascii="宋体" w:hAnsi="宋体"/>
          <w:color w:val="auto"/>
          <w:sz w:val="24"/>
          <w:szCs w:val="24"/>
          <w:highlight w:val="none"/>
        </w:rPr>
      </w:pPr>
      <w:r>
        <w:rPr>
          <w:rFonts w:hint="eastAsia" w:ascii="宋体" w:hAnsi="宋体" w:eastAsia="宋体" w:cs="宋体"/>
          <w:b/>
          <w:color w:val="auto"/>
          <w:sz w:val="24"/>
          <w:szCs w:val="24"/>
          <w:highlight w:val="none"/>
          <w:lang w:val="zh-CN"/>
        </w:rPr>
        <w:t>具有良好的商业信誉和健全的财务会计制度：</w:t>
      </w:r>
      <w:r>
        <w:rPr>
          <w:rFonts w:hint="eastAsia" w:ascii="Times New Roman" w:hAnsi="Times New Roman" w:eastAsia="宋体" w:cs="Times New Roman"/>
          <w:color w:val="auto"/>
          <w:sz w:val="24"/>
          <w:szCs w:val="24"/>
          <w:highlight w:val="none"/>
          <w:lang w:val="zh-CN"/>
        </w:rPr>
        <w:t>具有良好的商业信誉和健全的财务会计制度：银行出具的资信证明（若供应商为法人的须提供其基本开户银行出具的资信证明）或供应商近</w:t>
      </w:r>
      <w:r>
        <w:rPr>
          <w:rFonts w:hint="eastAsia" w:ascii="Times New Roman" w:hAnsi="Times New Roman" w:eastAsia="宋体" w:cs="Times New Roman"/>
          <w:color w:val="auto"/>
          <w:sz w:val="24"/>
          <w:szCs w:val="24"/>
          <w:highlight w:val="none"/>
          <w:lang w:val="en-US" w:eastAsia="zh-CN"/>
        </w:rPr>
        <w:t>十二</w:t>
      </w:r>
      <w:r>
        <w:rPr>
          <w:rFonts w:hint="eastAsia" w:ascii="Times New Roman" w:hAnsi="Times New Roman" w:eastAsia="宋体" w:cs="Times New Roman"/>
          <w:color w:val="auto"/>
          <w:sz w:val="24"/>
          <w:szCs w:val="24"/>
          <w:highlight w:val="none"/>
          <w:lang w:val="zh-CN"/>
        </w:rPr>
        <w:t>个月中任意一个月份的财务状况报告（资产负债表和利润表）或由会计师事务所出具的近两年中任意一个年度的审计报告和所附已审财务报告复印件</w:t>
      </w:r>
      <w:r>
        <w:rPr>
          <w:rFonts w:hint="eastAsia" w:ascii="宋体" w:hAnsi="宋体" w:eastAsia="宋体" w:cs="宋体"/>
          <w:bCs/>
          <w:color w:val="auto"/>
          <w:sz w:val="24"/>
          <w:szCs w:val="24"/>
          <w:highlight w:val="none"/>
          <w:lang w:val="zh-CN"/>
        </w:rPr>
        <w:t>；</w:t>
      </w:r>
    </w:p>
    <w:p w14:paraId="69CCAD71">
      <w:pPr>
        <w:numPr>
          <w:ilvl w:val="0"/>
          <w:numId w:val="17"/>
        </w:numPr>
        <w:tabs>
          <w:tab w:val="left" w:pos="420"/>
          <w:tab w:val="left" w:pos="945"/>
          <w:tab w:val="left" w:pos="1155"/>
        </w:tabs>
        <w:spacing w:line="360" w:lineRule="auto"/>
        <w:ind w:firstLine="480"/>
        <w:rPr>
          <w:rFonts w:ascii="宋体" w:hAnsi="宋体" w:eastAsia="宋体" w:cs="宋体"/>
          <w:sz w:val="24"/>
          <w:szCs w:val="24"/>
          <w:highlight w:val="none"/>
        </w:rPr>
      </w:pPr>
      <w:r>
        <w:rPr>
          <w:rFonts w:hint="eastAsia" w:ascii="宋体" w:hAnsi="宋体"/>
          <w:sz w:val="24"/>
          <w:szCs w:val="24"/>
          <w:highlight w:val="none"/>
        </w:rPr>
        <w:t>投标人依法缴纳近十二个月中任意一个月份税收的相关材料（提供相关主管部门证明或银行代扣证明）复印件；</w:t>
      </w:r>
    </w:p>
    <w:p w14:paraId="21D4418C">
      <w:pPr>
        <w:numPr>
          <w:ilvl w:val="0"/>
          <w:numId w:val="17"/>
        </w:numPr>
        <w:tabs>
          <w:tab w:val="left" w:pos="420"/>
          <w:tab w:val="left" w:pos="945"/>
          <w:tab w:val="left" w:pos="1155"/>
        </w:tabs>
        <w:spacing w:line="360" w:lineRule="auto"/>
        <w:ind w:firstLine="480"/>
        <w:rPr>
          <w:rFonts w:ascii="宋体" w:hAnsi="宋体"/>
          <w:sz w:val="24"/>
          <w:szCs w:val="24"/>
          <w:highlight w:val="none"/>
        </w:rPr>
      </w:pPr>
      <w:r>
        <w:rPr>
          <w:rFonts w:hint="eastAsia" w:ascii="宋体" w:hAnsi="宋体" w:cs="宋体"/>
          <w:sz w:val="24"/>
          <w:szCs w:val="24"/>
          <w:highlight w:val="none"/>
        </w:rPr>
        <w:t>投标人依法缴纳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p w14:paraId="278EF416">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14:paraId="5817B703">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b/>
          <w:sz w:val="24"/>
          <w:szCs w:val="24"/>
          <w:highlight w:val="none"/>
        </w:rPr>
        <w:t>良好的信用记录：</w:t>
      </w:r>
      <w:r>
        <w:rPr>
          <w:rFonts w:hint="eastAsia" w:ascii="宋体" w:hAnsi="宋体"/>
          <w:bCs/>
          <w:sz w:val="24"/>
          <w:szCs w:val="24"/>
          <w:highlight w:val="none"/>
        </w:rPr>
        <w:t>未被“</w:t>
      </w:r>
      <w:r>
        <w:rPr>
          <w:rFonts w:hint="eastAsia" w:ascii="宋体" w:hAnsi="宋体"/>
          <w:bCs/>
          <w:sz w:val="24"/>
          <w:szCs w:val="24"/>
          <w:highlight w:val="none"/>
          <w:lang w:val="zh-CN"/>
        </w:rPr>
        <w:t>信用中国</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（www.creditchina.gov.cn）</w:t>
      </w:r>
      <w:r>
        <w:rPr>
          <w:rFonts w:hint="eastAsia" w:ascii="宋体" w:hAnsi="宋体"/>
          <w:bCs/>
          <w:sz w:val="24"/>
          <w:szCs w:val="24"/>
          <w:highlight w:val="none"/>
          <w:lang w:val="zh-CN"/>
        </w:rPr>
        <w:t>列入失信被执行人、重大税收违法案件当事人名单、政府采购严重违法失信名单</w:t>
      </w:r>
      <w:r>
        <w:rPr>
          <w:rFonts w:hint="eastAsia" w:ascii="宋体" w:hAnsi="宋体"/>
          <w:bCs/>
          <w:sz w:val="24"/>
          <w:szCs w:val="24"/>
          <w:highlight w:val="none"/>
        </w:rPr>
        <w:t>，</w:t>
      </w:r>
      <w:r>
        <w:rPr>
          <w:rFonts w:hint="eastAsia" w:ascii="宋体" w:hAnsi="宋体"/>
          <w:bCs/>
          <w:sz w:val="24"/>
          <w:szCs w:val="24"/>
          <w:highlight w:val="none"/>
          <w:lang w:val="zh-CN"/>
        </w:rPr>
        <w:t>或未在</w:t>
      </w:r>
      <w:r>
        <w:rPr>
          <w:rFonts w:hint="eastAsia" w:ascii="宋体" w:hAnsi="宋体"/>
          <w:bCs/>
          <w:sz w:val="24"/>
          <w:szCs w:val="24"/>
          <w:highlight w:val="none"/>
        </w:rPr>
        <w:t>“</w:t>
      </w:r>
      <w:r>
        <w:rPr>
          <w:rFonts w:hint="eastAsia" w:ascii="宋体" w:hAnsi="宋体"/>
          <w:bCs/>
          <w:sz w:val="24"/>
          <w:szCs w:val="24"/>
          <w:highlight w:val="none"/>
          <w:lang w:val="zh-CN"/>
        </w:rPr>
        <w:t>中国政府采购网</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（www.ccgp.gov.cn）</w:t>
      </w:r>
      <w:r>
        <w:rPr>
          <w:rFonts w:hint="eastAsia" w:ascii="宋体" w:hAnsi="宋体"/>
          <w:bCs/>
          <w:sz w:val="24"/>
          <w:szCs w:val="24"/>
          <w:highlight w:val="none"/>
          <w:lang w:val="zh-CN"/>
        </w:rPr>
        <w:t>被列入政府采购严重违法失信行为记录名单</w:t>
      </w:r>
      <w:r>
        <w:rPr>
          <w:rFonts w:hint="eastAsia" w:ascii="宋体" w:hAnsi="宋体"/>
          <w:bCs/>
          <w:sz w:val="24"/>
          <w:szCs w:val="24"/>
          <w:highlight w:val="none"/>
        </w:rPr>
        <w:t>；</w:t>
      </w:r>
      <w:r>
        <w:rPr>
          <w:rFonts w:hint="eastAsia" w:ascii="宋体" w:hAnsi="宋体"/>
          <w:b/>
          <w:sz w:val="24"/>
          <w:szCs w:val="24"/>
          <w:highlight w:val="none"/>
        </w:rPr>
        <w:t>（</w:t>
      </w:r>
      <w:r>
        <w:rPr>
          <w:rFonts w:ascii="宋体" w:hAnsi="宋体"/>
          <w:b/>
          <w:sz w:val="24"/>
          <w:szCs w:val="24"/>
          <w:highlight w:val="none"/>
        </w:rPr>
        <w:t>若</w:t>
      </w:r>
      <w:r>
        <w:rPr>
          <w:rFonts w:hint="eastAsia" w:ascii="宋体" w:hAnsi="宋体"/>
          <w:b/>
          <w:sz w:val="24"/>
          <w:szCs w:val="24"/>
          <w:highlight w:val="none"/>
        </w:rPr>
        <w:t>供应商</w:t>
      </w:r>
      <w:r>
        <w:rPr>
          <w:rFonts w:ascii="宋体" w:hAnsi="宋体"/>
          <w:b/>
          <w:sz w:val="24"/>
          <w:szCs w:val="24"/>
          <w:highlight w:val="none"/>
        </w:rPr>
        <w:t>企业信息已录入以上网站的，</w:t>
      </w:r>
      <w:r>
        <w:rPr>
          <w:rFonts w:hint="eastAsia" w:ascii="宋体" w:hAnsi="宋体"/>
          <w:b/>
          <w:sz w:val="24"/>
          <w:szCs w:val="24"/>
          <w:highlight w:val="none"/>
          <w:lang w:val="zh-CN"/>
        </w:rPr>
        <w:t>无需提供相关证明材料</w:t>
      </w:r>
      <w:r>
        <w:rPr>
          <w:rFonts w:ascii="宋体" w:hAnsi="宋体"/>
          <w:b/>
          <w:sz w:val="24"/>
          <w:szCs w:val="24"/>
          <w:highlight w:val="none"/>
        </w:rPr>
        <w:t>；</w:t>
      </w:r>
      <w:r>
        <w:rPr>
          <w:rFonts w:hint="eastAsia" w:ascii="宋体" w:hAnsi="宋体"/>
          <w:b/>
          <w:sz w:val="24"/>
          <w:szCs w:val="24"/>
          <w:highlight w:val="none"/>
        </w:rPr>
        <w:t>若供应商企业信息</w:t>
      </w:r>
      <w:r>
        <w:rPr>
          <w:rFonts w:ascii="宋体" w:hAnsi="宋体"/>
          <w:b/>
          <w:sz w:val="24"/>
          <w:szCs w:val="24"/>
          <w:highlight w:val="none"/>
        </w:rPr>
        <w:t>未</w:t>
      </w:r>
      <w:r>
        <w:rPr>
          <w:rFonts w:hint="eastAsia" w:ascii="宋体" w:hAnsi="宋体"/>
          <w:b/>
          <w:sz w:val="24"/>
          <w:szCs w:val="24"/>
          <w:highlight w:val="none"/>
        </w:rPr>
        <w:t>录入以上网站的，须在</w:t>
      </w:r>
      <w:r>
        <w:rPr>
          <w:rFonts w:hint="eastAsia" w:ascii="宋体" w:hAnsi="宋体"/>
          <w:b/>
          <w:sz w:val="24"/>
          <w:szCs w:val="24"/>
          <w:highlight w:val="none"/>
          <w:lang w:val="en-US" w:eastAsia="zh-CN"/>
        </w:rPr>
        <w:t>投标</w:t>
      </w:r>
      <w:r>
        <w:rPr>
          <w:rFonts w:hint="eastAsia" w:ascii="宋体" w:hAnsi="宋体"/>
          <w:b/>
          <w:sz w:val="24"/>
          <w:szCs w:val="24"/>
          <w:highlight w:val="none"/>
        </w:rPr>
        <w:t>文件中提供</w:t>
      </w:r>
      <w:r>
        <w:rPr>
          <w:rFonts w:ascii="宋体" w:hAnsi="宋体"/>
          <w:b/>
          <w:sz w:val="24"/>
          <w:szCs w:val="24"/>
          <w:highlight w:val="none"/>
        </w:rPr>
        <w:t>无不良信用记录</w:t>
      </w:r>
      <w:r>
        <w:rPr>
          <w:rFonts w:hint="eastAsia" w:ascii="宋体" w:hAnsi="宋体"/>
          <w:b/>
          <w:sz w:val="24"/>
          <w:szCs w:val="24"/>
          <w:highlight w:val="none"/>
        </w:rPr>
        <w:t>承诺</w:t>
      </w:r>
      <w:r>
        <w:rPr>
          <w:rFonts w:ascii="宋体" w:hAnsi="宋体"/>
          <w:b/>
          <w:sz w:val="24"/>
          <w:szCs w:val="24"/>
          <w:highlight w:val="none"/>
        </w:rPr>
        <w:t>书</w:t>
      </w:r>
      <w:r>
        <w:rPr>
          <w:rFonts w:hint="eastAsia" w:ascii="宋体" w:hAnsi="宋体"/>
          <w:b/>
          <w:sz w:val="24"/>
          <w:szCs w:val="24"/>
          <w:highlight w:val="none"/>
        </w:rPr>
        <w:t>）</w:t>
      </w:r>
    </w:p>
    <w:p w14:paraId="70B494FE">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sz w:val="24"/>
          <w:szCs w:val="21"/>
          <w:highlight w:val="none"/>
        </w:rPr>
        <w:t>投标保证金交纳证明复印件（银行转账记录）；</w:t>
      </w:r>
    </w:p>
    <w:p w14:paraId="5FDE4D40">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eastAsia="宋体" w:cs="宋体"/>
          <w:color w:val="0000FF"/>
          <w:sz w:val="24"/>
          <w:szCs w:val="24"/>
          <w:highlight w:val="none"/>
        </w:rPr>
        <w:t>投标人具备机电安装工程施工总承包企业三级及以上资质的或建筑机电安装工程专业承包企业三级及以上资质</w:t>
      </w:r>
      <w:r>
        <w:rPr>
          <w:rFonts w:hint="eastAsia" w:ascii="宋体" w:hAnsi="宋体" w:eastAsia="宋体" w:cs="宋体"/>
          <w:color w:val="0000FF"/>
          <w:sz w:val="24"/>
          <w:szCs w:val="24"/>
          <w:highlight w:val="none"/>
          <w:lang w:eastAsia="zh-CN"/>
        </w:rPr>
        <w:t>；</w:t>
      </w:r>
      <w:r>
        <w:rPr>
          <w:rFonts w:hint="eastAsia" w:ascii="宋体" w:hAnsi="宋体" w:eastAsia="宋体" w:cs="宋体"/>
          <w:b/>
          <w:bCs/>
          <w:sz w:val="24"/>
          <w:szCs w:val="24"/>
          <w:highlight w:val="none"/>
        </w:rPr>
        <w:t>（投标时必须提交相应原件或公证件）</w:t>
      </w:r>
    </w:p>
    <w:p w14:paraId="4FB1FD79">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bCs/>
          <w:sz w:val="24"/>
          <w:szCs w:val="24"/>
          <w:highlight w:val="none"/>
        </w:rPr>
        <w:t>所投的无负压供水设备应具有省级及以上卫生部门出具的“卫生许可批件”或“卫生检测报告”复印件，具有无空气污染的预压式无负压供水设备、全封闭无污染无负压给水设备小流量保压技术；</w:t>
      </w:r>
      <w:r>
        <w:rPr>
          <w:rFonts w:hint="eastAsia" w:ascii="宋体" w:hAnsi="宋体" w:eastAsia="宋体" w:cs="宋体"/>
          <w:b/>
          <w:bCs/>
          <w:sz w:val="24"/>
          <w:szCs w:val="24"/>
          <w:highlight w:val="none"/>
        </w:rPr>
        <w:t>（投标时必须提交相应原件或公证件）</w:t>
      </w:r>
    </w:p>
    <w:p w14:paraId="1A392D21">
      <w:pPr>
        <w:numPr>
          <w:ilvl w:val="0"/>
          <w:numId w:val="17"/>
        </w:numPr>
        <w:tabs>
          <w:tab w:val="left" w:pos="420"/>
          <w:tab w:val="left" w:pos="945"/>
          <w:tab w:val="left" w:pos="1155"/>
        </w:tabs>
        <w:spacing w:line="360" w:lineRule="auto"/>
        <w:ind w:firstLine="480"/>
        <w:rPr>
          <w:rFonts w:ascii="宋体" w:hAnsi="宋体" w:cs="宋体"/>
          <w:sz w:val="24"/>
          <w:szCs w:val="24"/>
          <w:highlight w:val="none"/>
        </w:rPr>
      </w:pPr>
      <w:r>
        <w:rPr>
          <w:rFonts w:hint="eastAsia" w:ascii="宋体" w:hAnsi="宋体"/>
          <w:sz w:val="24"/>
          <w:szCs w:val="21"/>
          <w:highlight w:val="none"/>
        </w:rPr>
        <w:t>具有中华人民共和国特种设备制造许可证（压力容器类）且在有效期内；若压力容器为外协提供，则提供外协厂家相应的制造许可证且在有效期内。</w:t>
      </w:r>
      <w:r>
        <w:rPr>
          <w:rFonts w:hint="eastAsia" w:ascii="宋体" w:hAnsi="宋体"/>
          <w:b/>
          <w:bCs/>
          <w:sz w:val="24"/>
          <w:szCs w:val="24"/>
          <w:highlight w:val="none"/>
        </w:rPr>
        <w:t>（投标文件中须提供证书复印件，原件或公证件投标时一并递交）</w:t>
      </w:r>
    </w:p>
    <w:p w14:paraId="39AFB71E">
      <w:pPr>
        <w:tabs>
          <w:tab w:val="left" w:pos="0"/>
          <w:tab w:val="left" w:pos="255"/>
        </w:tabs>
        <w:ind w:firstLine="240" w:firstLineChars="100"/>
        <w:rPr>
          <w:rFonts w:ascii="宋体" w:hAnsi="宋体"/>
          <w:bCs/>
          <w:sz w:val="24"/>
          <w:highlight w:val="none"/>
        </w:rPr>
      </w:pPr>
    </w:p>
    <w:p w14:paraId="48C5C0AE">
      <w:pPr>
        <w:rPr>
          <w:rFonts w:ascii="宋体" w:hAnsi="宋体"/>
          <w:bCs/>
          <w:sz w:val="24"/>
          <w:highlight w:val="none"/>
        </w:rPr>
      </w:pPr>
    </w:p>
    <w:p w14:paraId="7EE9E4B8">
      <w:pPr>
        <w:jc w:val="center"/>
        <w:rPr>
          <w:rFonts w:ascii="宋体" w:hAnsi="宋体"/>
          <w:bCs/>
          <w:sz w:val="24"/>
          <w:highlight w:val="none"/>
          <w:lang w:val="zh-CN"/>
        </w:rPr>
      </w:pPr>
      <w:r>
        <w:rPr>
          <w:rFonts w:hint="eastAsia" w:ascii="宋体" w:hAnsi="宋体"/>
          <w:bCs/>
          <w:sz w:val="24"/>
          <w:highlight w:val="none"/>
          <w:lang w:val="zh-CN"/>
        </w:rPr>
        <w:t>投标人签名：</w:t>
      </w:r>
    </w:p>
    <w:p w14:paraId="37052861">
      <w:pPr>
        <w:spacing w:line="360" w:lineRule="auto"/>
        <w:jc w:val="center"/>
        <w:rPr>
          <w:rFonts w:ascii="宋体" w:hAnsi="宋体"/>
          <w:bCs/>
          <w:sz w:val="24"/>
          <w:highlight w:val="none"/>
          <w:lang w:val="zh-CN"/>
        </w:rPr>
      </w:pPr>
      <w:r>
        <w:rPr>
          <w:rFonts w:hint="eastAsia" w:ascii="宋体" w:hAnsi="宋体"/>
          <w:bCs/>
          <w:sz w:val="24"/>
          <w:highlight w:val="none"/>
          <w:lang w:val="zh-CN"/>
        </w:rPr>
        <w:t>投标人公章：</w:t>
      </w:r>
    </w:p>
    <w:p w14:paraId="41DCFC85">
      <w:pPr>
        <w:ind w:firstLine="480" w:firstLineChars="200"/>
        <w:rPr>
          <w:rFonts w:ascii="黑体" w:hAnsi="宋体" w:eastAsia="黑体"/>
          <w:bCs/>
          <w:sz w:val="24"/>
          <w:szCs w:val="24"/>
          <w:highlight w:val="none"/>
        </w:rPr>
      </w:pPr>
      <w:r>
        <w:rPr>
          <w:rFonts w:ascii="黑体" w:hAnsi="宋体" w:eastAsia="黑体"/>
          <w:bCs/>
          <w:sz w:val="24"/>
          <w:szCs w:val="24"/>
          <w:highlight w:val="none"/>
        </w:rPr>
        <w:br w:type="page"/>
      </w:r>
      <w:bookmarkStart w:id="79" w:name="OLE_LINK11"/>
      <w:r>
        <w:rPr>
          <w:rFonts w:hint="eastAsia" w:ascii="黑体" w:hAnsi="宋体" w:eastAsia="黑体"/>
          <w:bCs/>
          <w:sz w:val="24"/>
          <w:szCs w:val="24"/>
          <w:highlight w:val="none"/>
        </w:rPr>
        <w:t>（四）</w:t>
      </w:r>
      <w:r>
        <w:rPr>
          <w:rFonts w:hint="eastAsia" w:ascii="黑体" w:hAnsi="宋体" w:eastAsia="黑体"/>
          <w:bCs/>
          <w:sz w:val="24"/>
          <w:szCs w:val="24"/>
          <w:highlight w:val="none"/>
          <w:lang w:val="zh-CN"/>
        </w:rPr>
        <w:t>技术参数及相关要求偏离表</w:t>
      </w:r>
      <w:r>
        <w:rPr>
          <w:rFonts w:hint="eastAsia" w:ascii="黑体" w:hAnsi="宋体" w:eastAsia="黑体"/>
          <w:bCs/>
          <w:sz w:val="24"/>
          <w:szCs w:val="24"/>
          <w:highlight w:val="none"/>
        </w:rPr>
        <w:t>（格式）：</w:t>
      </w:r>
    </w:p>
    <w:p w14:paraId="46835275">
      <w:pPr>
        <w:tabs>
          <w:tab w:val="left" w:pos="255"/>
        </w:tabs>
        <w:spacing w:beforeLines="50" w:afterLines="50" w:line="360" w:lineRule="auto"/>
        <w:jc w:val="center"/>
        <w:rPr>
          <w:rFonts w:ascii="黑体" w:hAnsi="黑体" w:eastAsia="黑体"/>
          <w:sz w:val="28"/>
          <w:szCs w:val="21"/>
          <w:highlight w:val="none"/>
          <w:lang w:val="zh-CN"/>
        </w:rPr>
      </w:pPr>
      <w:r>
        <w:rPr>
          <w:rFonts w:hint="eastAsia" w:ascii="黑体" w:hAnsi="黑体" w:eastAsia="黑体"/>
          <w:sz w:val="28"/>
          <w:szCs w:val="21"/>
          <w:highlight w:val="none"/>
          <w:lang w:val="zh-CN"/>
        </w:rPr>
        <w:t xml:space="preserve"> 技术参数及相关要求偏离表</w:t>
      </w:r>
    </w:p>
    <w:p w14:paraId="2485FFFD">
      <w:pPr>
        <w:tabs>
          <w:tab w:val="left" w:pos="255"/>
        </w:tabs>
        <w:spacing w:beforeLines="50" w:afterLines="50"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 xml:space="preserve">投标人名称（盖章）：               项目编号：YXGQ2025333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B10C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181F97E8">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序号</w:t>
            </w:r>
          </w:p>
        </w:tc>
        <w:tc>
          <w:tcPr>
            <w:tcW w:w="1973" w:type="dxa"/>
            <w:vAlign w:val="center"/>
          </w:tcPr>
          <w:p w14:paraId="68FFCED5">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项目名称</w:t>
            </w:r>
          </w:p>
        </w:tc>
        <w:tc>
          <w:tcPr>
            <w:tcW w:w="2315" w:type="dxa"/>
            <w:vAlign w:val="center"/>
          </w:tcPr>
          <w:p w14:paraId="0192EB4A">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招标内容</w:t>
            </w:r>
          </w:p>
        </w:tc>
        <w:tc>
          <w:tcPr>
            <w:tcW w:w="2327" w:type="dxa"/>
            <w:vAlign w:val="center"/>
          </w:tcPr>
          <w:p w14:paraId="5AE3B4C6">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投标内容</w:t>
            </w:r>
          </w:p>
        </w:tc>
        <w:tc>
          <w:tcPr>
            <w:tcW w:w="1969" w:type="dxa"/>
            <w:vAlign w:val="center"/>
          </w:tcPr>
          <w:p w14:paraId="506EC1D8">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正偏离/负偏离</w:t>
            </w:r>
          </w:p>
        </w:tc>
      </w:tr>
      <w:tr w14:paraId="1A3C8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727B2D33">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065B44CE">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3B1FEA93">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2B9CFAF1">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2F13FC67">
            <w:pPr>
              <w:tabs>
                <w:tab w:val="left" w:pos="255"/>
              </w:tabs>
              <w:spacing w:line="360" w:lineRule="auto"/>
              <w:ind w:left="420" w:leftChars="200" w:firstLine="480" w:firstLineChars="200"/>
              <w:rPr>
                <w:rFonts w:ascii="宋体" w:hAnsi="宋体"/>
                <w:sz w:val="24"/>
                <w:szCs w:val="21"/>
                <w:highlight w:val="none"/>
                <w:lang w:val="zh-CN"/>
              </w:rPr>
            </w:pPr>
          </w:p>
        </w:tc>
      </w:tr>
      <w:tr w14:paraId="75DB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FE16A6F">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6F0E643B">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498A2E60">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41389BC3">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133D7161">
            <w:pPr>
              <w:tabs>
                <w:tab w:val="left" w:pos="255"/>
              </w:tabs>
              <w:spacing w:line="360" w:lineRule="auto"/>
              <w:ind w:left="420" w:leftChars="200" w:firstLine="480" w:firstLineChars="200"/>
              <w:rPr>
                <w:rFonts w:ascii="宋体" w:hAnsi="宋体"/>
                <w:sz w:val="24"/>
                <w:szCs w:val="21"/>
                <w:highlight w:val="none"/>
                <w:lang w:val="zh-CN"/>
              </w:rPr>
            </w:pPr>
          </w:p>
        </w:tc>
      </w:tr>
      <w:tr w14:paraId="5C245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7DB2B7CA">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05941675">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4D53D691">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19D34182">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23BA0990">
            <w:pPr>
              <w:tabs>
                <w:tab w:val="left" w:pos="255"/>
              </w:tabs>
              <w:spacing w:line="360" w:lineRule="auto"/>
              <w:ind w:left="420" w:leftChars="200" w:firstLine="480" w:firstLineChars="200"/>
              <w:rPr>
                <w:rFonts w:ascii="宋体" w:hAnsi="宋体"/>
                <w:sz w:val="24"/>
                <w:szCs w:val="21"/>
                <w:highlight w:val="none"/>
                <w:lang w:val="zh-CN"/>
              </w:rPr>
            </w:pPr>
          </w:p>
        </w:tc>
      </w:tr>
      <w:tr w14:paraId="79CB9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7922E62A">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6AEEDD1C">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2F65230E">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75B15B49">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3754F0CA">
            <w:pPr>
              <w:tabs>
                <w:tab w:val="left" w:pos="255"/>
              </w:tabs>
              <w:spacing w:line="360" w:lineRule="auto"/>
              <w:ind w:left="420" w:leftChars="200" w:firstLine="480" w:firstLineChars="200"/>
              <w:rPr>
                <w:rFonts w:ascii="宋体" w:hAnsi="宋体"/>
                <w:sz w:val="24"/>
                <w:szCs w:val="21"/>
                <w:highlight w:val="none"/>
                <w:lang w:val="zh-CN"/>
              </w:rPr>
            </w:pPr>
          </w:p>
        </w:tc>
      </w:tr>
      <w:tr w14:paraId="5C82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E4F3582">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0BE1753C">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26D27108">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1691B498">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77DFF506">
            <w:pPr>
              <w:tabs>
                <w:tab w:val="left" w:pos="255"/>
              </w:tabs>
              <w:spacing w:line="360" w:lineRule="auto"/>
              <w:ind w:left="420" w:leftChars="200" w:firstLine="480" w:firstLineChars="200"/>
              <w:rPr>
                <w:rFonts w:ascii="宋体" w:hAnsi="宋体"/>
                <w:sz w:val="24"/>
                <w:szCs w:val="21"/>
                <w:highlight w:val="none"/>
                <w:lang w:val="zh-CN"/>
              </w:rPr>
            </w:pPr>
          </w:p>
        </w:tc>
      </w:tr>
      <w:tr w14:paraId="68EEA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20415A9E">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404F2F99">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30EC1F18">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0E761A7B">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796EFCA1">
            <w:pPr>
              <w:tabs>
                <w:tab w:val="left" w:pos="255"/>
              </w:tabs>
              <w:spacing w:line="360" w:lineRule="auto"/>
              <w:ind w:left="420" w:leftChars="200" w:firstLine="480" w:firstLineChars="200"/>
              <w:rPr>
                <w:rFonts w:ascii="宋体" w:hAnsi="宋体"/>
                <w:sz w:val="24"/>
                <w:szCs w:val="21"/>
                <w:highlight w:val="none"/>
                <w:lang w:val="zh-CN"/>
              </w:rPr>
            </w:pPr>
          </w:p>
        </w:tc>
      </w:tr>
      <w:tr w14:paraId="0EEAD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2E6029D3">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14:paraId="7BCAA27C">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14:paraId="54A774E6">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14:paraId="6C8DB7B2">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14:paraId="1DC94F20">
            <w:pPr>
              <w:tabs>
                <w:tab w:val="left" w:pos="255"/>
              </w:tabs>
              <w:spacing w:line="360" w:lineRule="auto"/>
              <w:ind w:left="420" w:leftChars="200" w:firstLine="480" w:firstLineChars="200"/>
              <w:rPr>
                <w:rFonts w:ascii="宋体" w:hAnsi="宋体"/>
                <w:sz w:val="24"/>
                <w:szCs w:val="21"/>
                <w:highlight w:val="none"/>
                <w:lang w:val="zh-CN"/>
              </w:rPr>
            </w:pPr>
          </w:p>
        </w:tc>
      </w:tr>
    </w:tbl>
    <w:p w14:paraId="44450807">
      <w:pPr>
        <w:spacing w:line="580" w:lineRule="exact"/>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注：投标人应对照招标文件“第四章项目技术要求和有关说明”的相关要求，将自身响应的偏离情况（与招标文件要求不一致的地方）详细填入上表，并注明“正偏离/负偏离”；若未填写上表，视为完全响应。</w:t>
      </w:r>
    </w:p>
    <w:p w14:paraId="5DCD600E">
      <w:pPr>
        <w:tabs>
          <w:tab w:val="left" w:pos="255"/>
        </w:tabs>
        <w:spacing w:line="360" w:lineRule="auto"/>
        <w:ind w:left="420" w:leftChars="200" w:firstLine="480" w:firstLineChars="200"/>
        <w:rPr>
          <w:rFonts w:ascii="宋体" w:hAnsi="宋体"/>
          <w:sz w:val="24"/>
          <w:szCs w:val="21"/>
          <w:highlight w:val="none"/>
          <w:lang w:val="zh-CN"/>
        </w:rPr>
      </w:pPr>
    </w:p>
    <w:p w14:paraId="44A58834">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投标人签名：                                    日期：</w:t>
      </w:r>
      <w:bookmarkEnd w:id="79"/>
    </w:p>
    <w:p w14:paraId="3157BAAE">
      <w:pPr>
        <w:tabs>
          <w:tab w:val="left" w:pos="255"/>
        </w:tabs>
        <w:spacing w:line="360" w:lineRule="auto"/>
        <w:ind w:firstLine="480" w:firstLineChars="200"/>
        <w:jc w:val="left"/>
        <w:rPr>
          <w:rFonts w:ascii="宋体" w:hAnsi="宋体"/>
          <w:sz w:val="24"/>
          <w:szCs w:val="21"/>
          <w:highlight w:val="none"/>
        </w:rPr>
      </w:pPr>
      <w:r>
        <w:rPr>
          <w:rFonts w:ascii="宋体" w:hAnsi="宋体"/>
          <w:sz w:val="24"/>
          <w:szCs w:val="21"/>
          <w:highlight w:val="none"/>
        </w:rPr>
        <w:br w:type="page"/>
      </w:r>
    </w:p>
    <w:p w14:paraId="01029EE5">
      <w:pPr>
        <w:tabs>
          <w:tab w:val="left" w:pos="255"/>
        </w:tabs>
        <w:spacing w:line="360" w:lineRule="auto"/>
        <w:ind w:firstLine="480" w:firstLineChars="200"/>
        <w:jc w:val="left"/>
        <w:rPr>
          <w:rFonts w:ascii="黑体" w:hAnsi="宋体" w:eastAsia="黑体"/>
          <w:bCs/>
          <w:sz w:val="24"/>
          <w:szCs w:val="24"/>
          <w:highlight w:val="none"/>
        </w:rPr>
      </w:pPr>
      <w:r>
        <w:rPr>
          <w:rFonts w:hint="eastAsia" w:ascii="黑体" w:hAnsi="宋体" w:eastAsia="黑体"/>
          <w:bCs/>
          <w:sz w:val="24"/>
          <w:szCs w:val="24"/>
          <w:highlight w:val="none"/>
        </w:rPr>
        <w:t>(五)招标文件第四章“项目技术要求和有关说明”中要求提供的相关证明材料（如有自行添加）</w:t>
      </w:r>
    </w:p>
    <w:p w14:paraId="2838C2EC">
      <w:pPr>
        <w:tabs>
          <w:tab w:val="left" w:pos="255"/>
        </w:tabs>
        <w:spacing w:line="360" w:lineRule="auto"/>
        <w:ind w:firstLine="480" w:firstLineChars="200"/>
        <w:jc w:val="left"/>
        <w:rPr>
          <w:rFonts w:ascii="黑体" w:hAnsi="宋体" w:eastAsia="黑体"/>
          <w:bCs/>
          <w:sz w:val="24"/>
          <w:szCs w:val="24"/>
          <w:highlight w:val="none"/>
        </w:rPr>
      </w:pPr>
    </w:p>
    <w:p w14:paraId="32C08EA3">
      <w:pPr>
        <w:tabs>
          <w:tab w:val="left" w:pos="255"/>
        </w:tabs>
        <w:spacing w:line="360" w:lineRule="auto"/>
        <w:ind w:firstLine="480" w:firstLineChars="200"/>
        <w:jc w:val="left"/>
        <w:rPr>
          <w:rFonts w:ascii="黑体" w:hAnsi="宋体" w:eastAsia="黑体"/>
          <w:bCs/>
          <w:sz w:val="24"/>
          <w:szCs w:val="24"/>
          <w:highlight w:val="none"/>
        </w:rPr>
      </w:pPr>
    </w:p>
    <w:p w14:paraId="295E9BE2">
      <w:pPr>
        <w:tabs>
          <w:tab w:val="left" w:pos="255"/>
        </w:tabs>
        <w:spacing w:line="360" w:lineRule="auto"/>
        <w:ind w:firstLine="480" w:firstLineChars="200"/>
        <w:jc w:val="left"/>
        <w:rPr>
          <w:rFonts w:ascii="黑体" w:hAnsi="宋体" w:eastAsia="黑体"/>
          <w:bCs/>
          <w:sz w:val="24"/>
          <w:szCs w:val="24"/>
          <w:highlight w:val="none"/>
        </w:rPr>
      </w:pPr>
    </w:p>
    <w:p w14:paraId="08413846">
      <w:pPr>
        <w:tabs>
          <w:tab w:val="left" w:pos="255"/>
        </w:tabs>
        <w:spacing w:line="360" w:lineRule="auto"/>
        <w:ind w:firstLine="480" w:firstLineChars="200"/>
        <w:jc w:val="left"/>
        <w:rPr>
          <w:rFonts w:ascii="黑体" w:hAnsi="宋体" w:eastAsia="黑体"/>
          <w:bCs/>
          <w:sz w:val="24"/>
          <w:szCs w:val="24"/>
          <w:highlight w:val="none"/>
        </w:rPr>
      </w:pPr>
    </w:p>
    <w:p w14:paraId="6C9D449E">
      <w:pPr>
        <w:tabs>
          <w:tab w:val="left" w:pos="255"/>
        </w:tabs>
        <w:spacing w:line="360" w:lineRule="auto"/>
        <w:ind w:firstLine="480" w:firstLineChars="200"/>
        <w:jc w:val="left"/>
        <w:rPr>
          <w:rFonts w:ascii="黑体" w:hAnsi="宋体" w:eastAsia="黑体"/>
          <w:bCs/>
          <w:sz w:val="24"/>
          <w:szCs w:val="24"/>
          <w:highlight w:val="none"/>
        </w:rPr>
      </w:pPr>
    </w:p>
    <w:p w14:paraId="0D1874F7">
      <w:pPr>
        <w:tabs>
          <w:tab w:val="left" w:pos="255"/>
        </w:tabs>
        <w:spacing w:line="360" w:lineRule="auto"/>
        <w:ind w:firstLine="480" w:firstLineChars="200"/>
        <w:jc w:val="left"/>
        <w:rPr>
          <w:rFonts w:ascii="黑体" w:hAnsi="宋体" w:eastAsia="黑体"/>
          <w:bCs/>
          <w:sz w:val="24"/>
          <w:szCs w:val="24"/>
          <w:highlight w:val="none"/>
        </w:rPr>
      </w:pPr>
    </w:p>
    <w:p w14:paraId="5D76B2F7">
      <w:pPr>
        <w:tabs>
          <w:tab w:val="left" w:pos="255"/>
        </w:tabs>
        <w:spacing w:line="360" w:lineRule="auto"/>
        <w:ind w:firstLine="480" w:firstLineChars="200"/>
        <w:jc w:val="left"/>
        <w:rPr>
          <w:rFonts w:ascii="黑体" w:hAnsi="宋体" w:eastAsia="黑体"/>
          <w:bCs/>
          <w:sz w:val="24"/>
          <w:szCs w:val="24"/>
          <w:highlight w:val="none"/>
        </w:rPr>
      </w:pPr>
    </w:p>
    <w:p w14:paraId="526225C0">
      <w:pPr>
        <w:tabs>
          <w:tab w:val="left" w:pos="255"/>
        </w:tabs>
        <w:spacing w:line="360" w:lineRule="auto"/>
        <w:ind w:firstLine="480" w:firstLineChars="200"/>
        <w:jc w:val="left"/>
        <w:rPr>
          <w:rFonts w:ascii="黑体" w:hAnsi="宋体" w:eastAsia="黑体"/>
          <w:bCs/>
          <w:sz w:val="24"/>
          <w:szCs w:val="24"/>
          <w:highlight w:val="none"/>
        </w:rPr>
      </w:pPr>
    </w:p>
    <w:p w14:paraId="26A6E553">
      <w:pPr>
        <w:tabs>
          <w:tab w:val="left" w:pos="255"/>
        </w:tabs>
        <w:spacing w:line="360" w:lineRule="auto"/>
        <w:ind w:firstLine="480" w:firstLineChars="200"/>
        <w:jc w:val="left"/>
        <w:rPr>
          <w:rFonts w:ascii="黑体" w:hAnsi="宋体" w:eastAsia="黑体"/>
          <w:bCs/>
          <w:sz w:val="24"/>
          <w:szCs w:val="24"/>
          <w:highlight w:val="none"/>
        </w:rPr>
      </w:pPr>
    </w:p>
    <w:p w14:paraId="3AEF1D44">
      <w:pPr>
        <w:tabs>
          <w:tab w:val="left" w:pos="255"/>
        </w:tabs>
        <w:spacing w:line="360" w:lineRule="auto"/>
        <w:ind w:firstLine="480" w:firstLineChars="200"/>
        <w:jc w:val="left"/>
        <w:rPr>
          <w:rFonts w:ascii="黑体" w:hAnsi="宋体" w:eastAsia="黑体"/>
          <w:bCs/>
          <w:sz w:val="24"/>
          <w:szCs w:val="24"/>
          <w:highlight w:val="none"/>
        </w:rPr>
      </w:pPr>
    </w:p>
    <w:p w14:paraId="366E1C9B">
      <w:pPr>
        <w:tabs>
          <w:tab w:val="left" w:pos="255"/>
        </w:tabs>
        <w:spacing w:line="360" w:lineRule="auto"/>
        <w:ind w:firstLine="480" w:firstLineChars="200"/>
        <w:jc w:val="left"/>
        <w:rPr>
          <w:rFonts w:ascii="黑体" w:hAnsi="宋体" w:eastAsia="黑体"/>
          <w:bCs/>
          <w:sz w:val="24"/>
          <w:szCs w:val="24"/>
          <w:highlight w:val="none"/>
        </w:rPr>
      </w:pPr>
    </w:p>
    <w:p w14:paraId="73F6B676">
      <w:pPr>
        <w:tabs>
          <w:tab w:val="left" w:pos="255"/>
        </w:tabs>
        <w:spacing w:line="360" w:lineRule="auto"/>
        <w:ind w:firstLine="480" w:firstLineChars="200"/>
        <w:jc w:val="left"/>
        <w:rPr>
          <w:rFonts w:ascii="黑体" w:hAnsi="宋体" w:eastAsia="黑体"/>
          <w:bCs/>
          <w:sz w:val="24"/>
          <w:szCs w:val="24"/>
          <w:highlight w:val="none"/>
        </w:rPr>
      </w:pPr>
    </w:p>
    <w:p w14:paraId="76978A77">
      <w:pPr>
        <w:tabs>
          <w:tab w:val="left" w:pos="255"/>
        </w:tabs>
        <w:spacing w:line="360" w:lineRule="auto"/>
        <w:ind w:firstLine="480" w:firstLineChars="200"/>
        <w:jc w:val="left"/>
        <w:rPr>
          <w:rFonts w:ascii="黑体" w:hAnsi="宋体" w:eastAsia="黑体"/>
          <w:bCs/>
          <w:sz w:val="24"/>
          <w:szCs w:val="24"/>
          <w:highlight w:val="none"/>
        </w:rPr>
      </w:pPr>
    </w:p>
    <w:p w14:paraId="372FE887">
      <w:pPr>
        <w:tabs>
          <w:tab w:val="left" w:pos="255"/>
        </w:tabs>
        <w:spacing w:line="360" w:lineRule="auto"/>
        <w:ind w:firstLine="480" w:firstLineChars="200"/>
        <w:jc w:val="left"/>
        <w:rPr>
          <w:rFonts w:ascii="黑体" w:hAnsi="宋体" w:eastAsia="黑体"/>
          <w:bCs/>
          <w:sz w:val="24"/>
          <w:szCs w:val="24"/>
          <w:highlight w:val="none"/>
        </w:rPr>
      </w:pPr>
    </w:p>
    <w:p w14:paraId="4F9DDE81">
      <w:pPr>
        <w:tabs>
          <w:tab w:val="left" w:pos="255"/>
        </w:tabs>
        <w:spacing w:line="360" w:lineRule="auto"/>
        <w:ind w:firstLine="480" w:firstLineChars="200"/>
        <w:jc w:val="left"/>
        <w:rPr>
          <w:rFonts w:ascii="黑体" w:hAnsi="宋体" w:eastAsia="黑体"/>
          <w:bCs/>
          <w:sz w:val="24"/>
          <w:szCs w:val="24"/>
          <w:highlight w:val="none"/>
        </w:rPr>
      </w:pPr>
    </w:p>
    <w:p w14:paraId="5E237A54">
      <w:pPr>
        <w:tabs>
          <w:tab w:val="left" w:pos="255"/>
        </w:tabs>
        <w:spacing w:line="360" w:lineRule="auto"/>
        <w:ind w:firstLine="480" w:firstLineChars="200"/>
        <w:jc w:val="left"/>
        <w:rPr>
          <w:rFonts w:ascii="黑体" w:hAnsi="宋体" w:eastAsia="黑体"/>
          <w:bCs/>
          <w:sz w:val="24"/>
          <w:szCs w:val="24"/>
          <w:highlight w:val="none"/>
        </w:rPr>
      </w:pPr>
    </w:p>
    <w:p w14:paraId="67252A08">
      <w:pPr>
        <w:tabs>
          <w:tab w:val="left" w:pos="255"/>
        </w:tabs>
        <w:spacing w:line="360" w:lineRule="auto"/>
        <w:ind w:firstLine="480" w:firstLineChars="200"/>
        <w:jc w:val="left"/>
        <w:rPr>
          <w:rFonts w:ascii="黑体" w:hAnsi="宋体" w:eastAsia="黑体"/>
          <w:bCs/>
          <w:sz w:val="24"/>
          <w:szCs w:val="24"/>
          <w:highlight w:val="none"/>
        </w:rPr>
      </w:pPr>
    </w:p>
    <w:p w14:paraId="68DA0A7B">
      <w:pPr>
        <w:tabs>
          <w:tab w:val="left" w:pos="255"/>
        </w:tabs>
        <w:spacing w:line="360" w:lineRule="auto"/>
        <w:ind w:firstLine="480" w:firstLineChars="200"/>
        <w:jc w:val="left"/>
        <w:rPr>
          <w:rFonts w:ascii="黑体" w:hAnsi="宋体" w:eastAsia="黑体"/>
          <w:bCs/>
          <w:sz w:val="24"/>
          <w:szCs w:val="24"/>
          <w:highlight w:val="none"/>
        </w:rPr>
      </w:pPr>
    </w:p>
    <w:p w14:paraId="335F658A">
      <w:pPr>
        <w:tabs>
          <w:tab w:val="left" w:pos="255"/>
        </w:tabs>
        <w:spacing w:line="360" w:lineRule="auto"/>
        <w:ind w:firstLine="480" w:firstLineChars="200"/>
        <w:jc w:val="left"/>
        <w:rPr>
          <w:rFonts w:ascii="黑体" w:hAnsi="宋体" w:eastAsia="黑体"/>
          <w:bCs/>
          <w:sz w:val="24"/>
          <w:szCs w:val="24"/>
          <w:highlight w:val="none"/>
        </w:rPr>
      </w:pPr>
    </w:p>
    <w:p w14:paraId="77C61A5F">
      <w:pPr>
        <w:tabs>
          <w:tab w:val="left" w:pos="255"/>
        </w:tabs>
        <w:spacing w:line="360" w:lineRule="auto"/>
        <w:ind w:firstLine="480" w:firstLineChars="200"/>
        <w:jc w:val="left"/>
        <w:rPr>
          <w:rFonts w:ascii="黑体" w:hAnsi="宋体" w:eastAsia="黑体"/>
          <w:bCs/>
          <w:sz w:val="24"/>
          <w:szCs w:val="24"/>
          <w:highlight w:val="none"/>
        </w:rPr>
      </w:pPr>
    </w:p>
    <w:p w14:paraId="697B8479">
      <w:pPr>
        <w:tabs>
          <w:tab w:val="left" w:pos="255"/>
        </w:tabs>
        <w:spacing w:line="360" w:lineRule="auto"/>
        <w:ind w:firstLine="480" w:firstLineChars="200"/>
        <w:jc w:val="left"/>
        <w:rPr>
          <w:rFonts w:ascii="黑体" w:hAnsi="宋体" w:eastAsia="黑体"/>
          <w:bCs/>
          <w:sz w:val="24"/>
          <w:szCs w:val="24"/>
          <w:highlight w:val="none"/>
        </w:rPr>
      </w:pPr>
    </w:p>
    <w:p w14:paraId="53817FF2">
      <w:pPr>
        <w:tabs>
          <w:tab w:val="left" w:pos="255"/>
        </w:tabs>
        <w:spacing w:line="360" w:lineRule="auto"/>
        <w:ind w:firstLine="480" w:firstLineChars="200"/>
        <w:jc w:val="left"/>
        <w:rPr>
          <w:rFonts w:ascii="黑体" w:hAnsi="宋体" w:eastAsia="黑体"/>
          <w:bCs/>
          <w:sz w:val="24"/>
          <w:szCs w:val="24"/>
          <w:highlight w:val="none"/>
        </w:rPr>
      </w:pPr>
    </w:p>
    <w:p w14:paraId="3B9BDF36">
      <w:pPr>
        <w:tabs>
          <w:tab w:val="left" w:pos="255"/>
        </w:tabs>
        <w:spacing w:line="360" w:lineRule="auto"/>
        <w:ind w:firstLine="480" w:firstLineChars="200"/>
        <w:jc w:val="left"/>
        <w:rPr>
          <w:rFonts w:ascii="黑体" w:hAnsi="宋体" w:eastAsia="黑体"/>
          <w:bCs/>
          <w:sz w:val="24"/>
          <w:szCs w:val="24"/>
          <w:highlight w:val="none"/>
        </w:rPr>
      </w:pPr>
    </w:p>
    <w:p w14:paraId="1CB92DD8">
      <w:pPr>
        <w:tabs>
          <w:tab w:val="left" w:pos="255"/>
        </w:tabs>
        <w:spacing w:line="360" w:lineRule="auto"/>
        <w:ind w:firstLine="480" w:firstLineChars="200"/>
        <w:jc w:val="left"/>
        <w:rPr>
          <w:rFonts w:ascii="黑体" w:hAnsi="宋体" w:eastAsia="黑体"/>
          <w:bCs/>
          <w:sz w:val="24"/>
          <w:szCs w:val="24"/>
          <w:highlight w:val="none"/>
        </w:rPr>
      </w:pPr>
    </w:p>
    <w:p w14:paraId="2E366CA6">
      <w:pPr>
        <w:tabs>
          <w:tab w:val="left" w:pos="255"/>
        </w:tabs>
        <w:spacing w:line="360" w:lineRule="auto"/>
        <w:ind w:firstLine="480" w:firstLineChars="200"/>
        <w:jc w:val="left"/>
        <w:rPr>
          <w:rFonts w:ascii="黑体" w:hAnsi="宋体" w:eastAsia="黑体"/>
          <w:bCs/>
          <w:sz w:val="24"/>
          <w:szCs w:val="24"/>
          <w:highlight w:val="none"/>
        </w:rPr>
      </w:pPr>
    </w:p>
    <w:p w14:paraId="530F493A">
      <w:pPr>
        <w:tabs>
          <w:tab w:val="left" w:pos="255"/>
        </w:tabs>
        <w:spacing w:line="360" w:lineRule="auto"/>
        <w:ind w:firstLine="480" w:firstLineChars="200"/>
        <w:jc w:val="left"/>
        <w:rPr>
          <w:rFonts w:ascii="黑体" w:hAnsi="宋体" w:eastAsia="黑体"/>
          <w:bCs/>
          <w:sz w:val="24"/>
          <w:szCs w:val="24"/>
          <w:highlight w:val="none"/>
        </w:rPr>
      </w:pPr>
    </w:p>
    <w:p w14:paraId="53F44BE9">
      <w:pPr>
        <w:tabs>
          <w:tab w:val="left" w:pos="255"/>
        </w:tabs>
        <w:spacing w:line="360" w:lineRule="auto"/>
        <w:ind w:firstLine="480" w:firstLineChars="200"/>
        <w:jc w:val="left"/>
        <w:rPr>
          <w:rFonts w:ascii="黑体" w:hAnsi="宋体" w:eastAsia="黑体"/>
          <w:bCs/>
          <w:sz w:val="24"/>
          <w:szCs w:val="24"/>
          <w:highlight w:val="none"/>
        </w:rPr>
      </w:pPr>
    </w:p>
    <w:p w14:paraId="23C93A9A">
      <w:pPr>
        <w:tabs>
          <w:tab w:val="left" w:pos="255"/>
        </w:tabs>
        <w:spacing w:line="360" w:lineRule="auto"/>
        <w:ind w:firstLine="480" w:firstLineChars="200"/>
        <w:jc w:val="left"/>
        <w:rPr>
          <w:rFonts w:ascii="黑体" w:hAnsi="宋体" w:eastAsia="黑体"/>
          <w:bCs/>
          <w:sz w:val="24"/>
          <w:szCs w:val="24"/>
          <w:highlight w:val="none"/>
        </w:rPr>
      </w:pPr>
    </w:p>
    <w:p w14:paraId="42A7BE75">
      <w:pPr>
        <w:tabs>
          <w:tab w:val="left" w:pos="255"/>
        </w:tabs>
        <w:spacing w:line="360" w:lineRule="auto"/>
        <w:ind w:firstLine="480" w:firstLineChars="200"/>
        <w:jc w:val="left"/>
        <w:rPr>
          <w:rFonts w:ascii="黑体" w:hAnsi="宋体" w:eastAsia="黑体"/>
          <w:bCs/>
          <w:sz w:val="24"/>
          <w:szCs w:val="24"/>
          <w:highlight w:val="none"/>
        </w:rPr>
      </w:pPr>
    </w:p>
    <w:p w14:paraId="58A69A6E">
      <w:pPr>
        <w:tabs>
          <w:tab w:val="left" w:pos="255"/>
        </w:tabs>
        <w:spacing w:line="360" w:lineRule="auto"/>
        <w:ind w:firstLine="480" w:firstLineChars="200"/>
        <w:jc w:val="left"/>
        <w:rPr>
          <w:rFonts w:ascii="宋体" w:hAnsi="宋体"/>
          <w:sz w:val="24"/>
          <w:szCs w:val="21"/>
          <w:highlight w:val="none"/>
          <w:lang w:val="zh-CN"/>
        </w:rPr>
      </w:pPr>
      <w:r>
        <w:rPr>
          <w:rFonts w:hint="eastAsia" w:ascii="黑体" w:hAnsi="宋体" w:eastAsia="黑体"/>
          <w:bCs/>
          <w:sz w:val="24"/>
          <w:szCs w:val="24"/>
          <w:highlight w:val="none"/>
        </w:rPr>
        <w:t>（六）</w:t>
      </w:r>
      <w:bookmarkStart w:id="80" w:name="OLE_LINK16"/>
      <w:r>
        <w:rPr>
          <w:rFonts w:hint="eastAsia" w:ascii="黑体" w:hAnsi="宋体" w:eastAsia="黑体"/>
          <w:bCs/>
          <w:sz w:val="24"/>
          <w:szCs w:val="24"/>
          <w:highlight w:val="none"/>
        </w:rPr>
        <w:t>技术商务部分评分导读表</w:t>
      </w:r>
      <w:bookmarkEnd w:id="80"/>
      <w:r>
        <w:rPr>
          <w:rFonts w:hint="eastAsia" w:ascii="黑体" w:hAnsi="宋体" w:eastAsia="黑体"/>
          <w:bCs/>
          <w:sz w:val="24"/>
          <w:szCs w:val="24"/>
          <w:highlight w:val="none"/>
        </w:rPr>
        <w:t>（格式）：</w:t>
      </w:r>
    </w:p>
    <w:p w14:paraId="70B453F6">
      <w:pPr>
        <w:tabs>
          <w:tab w:val="left" w:pos="255"/>
        </w:tabs>
        <w:spacing w:beforeLines="50" w:afterLines="50" w:line="360" w:lineRule="auto"/>
        <w:jc w:val="center"/>
        <w:rPr>
          <w:rFonts w:ascii="黑体" w:hAnsi="黑体" w:eastAsia="黑体"/>
          <w:sz w:val="28"/>
          <w:szCs w:val="21"/>
          <w:highlight w:val="none"/>
          <w:lang w:val="zh-CN"/>
        </w:rPr>
      </w:pPr>
      <w:r>
        <w:rPr>
          <w:rFonts w:hint="eastAsia" w:ascii="黑体" w:hAnsi="黑体" w:eastAsia="黑体"/>
          <w:sz w:val="28"/>
          <w:szCs w:val="21"/>
          <w:highlight w:val="none"/>
          <w:lang w:val="zh-CN"/>
        </w:rPr>
        <w:t xml:space="preserve"> 技术商务部分评分导读表</w:t>
      </w:r>
    </w:p>
    <w:p w14:paraId="4B662BAA">
      <w:pPr>
        <w:tabs>
          <w:tab w:val="left" w:pos="255"/>
        </w:tabs>
        <w:spacing w:beforeLines="50" w:afterLines="50"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 xml:space="preserve">投标人名称（盖章）：               项目编号：YXGQ2025333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14:paraId="4ED0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43A086FB">
            <w:pPr>
              <w:jc w:val="center"/>
              <w:rPr>
                <w:rFonts w:ascii="宋体" w:hAnsi="宋体"/>
                <w:sz w:val="24"/>
                <w:szCs w:val="24"/>
                <w:highlight w:val="none"/>
              </w:rPr>
            </w:pPr>
            <w:r>
              <w:rPr>
                <w:rFonts w:hint="eastAsia" w:ascii="宋体" w:hAnsi="宋体"/>
                <w:sz w:val="24"/>
                <w:szCs w:val="24"/>
                <w:highlight w:val="none"/>
              </w:rPr>
              <w:t>序号</w:t>
            </w:r>
          </w:p>
        </w:tc>
        <w:tc>
          <w:tcPr>
            <w:tcW w:w="1260" w:type="dxa"/>
            <w:tcBorders>
              <w:top w:val="single" w:color="auto" w:sz="4" w:space="0"/>
              <w:left w:val="single" w:color="auto" w:sz="4" w:space="0"/>
              <w:right w:val="single" w:color="auto" w:sz="4" w:space="0"/>
            </w:tcBorders>
            <w:vAlign w:val="center"/>
          </w:tcPr>
          <w:p w14:paraId="205066C6">
            <w:pPr>
              <w:jc w:val="center"/>
              <w:rPr>
                <w:rFonts w:ascii="宋体" w:hAnsi="宋体"/>
                <w:sz w:val="24"/>
                <w:szCs w:val="24"/>
                <w:highlight w:val="none"/>
              </w:rPr>
            </w:pPr>
            <w:r>
              <w:rPr>
                <w:rFonts w:hint="eastAsia" w:ascii="宋体" w:hAnsi="宋体"/>
                <w:sz w:val="24"/>
                <w:szCs w:val="24"/>
                <w:highlight w:val="none"/>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14:paraId="073CC290">
            <w:pPr>
              <w:jc w:val="center"/>
              <w:rPr>
                <w:rFonts w:ascii="宋体" w:hAnsi="宋体"/>
                <w:sz w:val="24"/>
                <w:szCs w:val="24"/>
                <w:highlight w:val="none"/>
              </w:rPr>
            </w:pPr>
            <w:r>
              <w:rPr>
                <w:rFonts w:hint="eastAsia" w:ascii="宋体" w:hAnsi="宋体"/>
                <w:sz w:val="24"/>
                <w:szCs w:val="24"/>
                <w:highlight w:val="none"/>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14:paraId="190595A9">
            <w:pPr>
              <w:jc w:val="center"/>
              <w:rPr>
                <w:rFonts w:ascii="宋体" w:hAnsi="宋体"/>
                <w:sz w:val="24"/>
                <w:szCs w:val="24"/>
                <w:highlight w:val="none"/>
              </w:rPr>
            </w:pPr>
            <w:r>
              <w:rPr>
                <w:rFonts w:hint="eastAsia" w:ascii="宋体" w:hAnsi="宋体"/>
                <w:sz w:val="24"/>
                <w:szCs w:val="24"/>
                <w:highlight w:val="none"/>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14:paraId="576385A5">
            <w:pPr>
              <w:jc w:val="center"/>
              <w:rPr>
                <w:rFonts w:ascii="宋体" w:hAnsi="宋体"/>
                <w:sz w:val="24"/>
                <w:szCs w:val="24"/>
                <w:highlight w:val="none"/>
              </w:rPr>
            </w:pPr>
            <w:r>
              <w:rPr>
                <w:rFonts w:hint="eastAsia" w:ascii="宋体" w:hAnsi="宋体"/>
                <w:sz w:val="24"/>
                <w:szCs w:val="24"/>
                <w:highlight w:val="none"/>
              </w:rPr>
              <w:t>自评分</w:t>
            </w:r>
          </w:p>
        </w:tc>
      </w:tr>
      <w:tr w14:paraId="675B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770022C6">
            <w:pPr>
              <w:jc w:val="center"/>
              <w:rPr>
                <w:rFonts w:ascii="宋体" w:hAnsi="宋体"/>
                <w:sz w:val="24"/>
                <w:szCs w:val="24"/>
                <w:highlight w:val="none"/>
              </w:rPr>
            </w:pPr>
            <w:r>
              <w:rPr>
                <w:rFonts w:hint="eastAsia" w:ascii="宋体" w:hAnsi="宋体"/>
                <w:sz w:val="24"/>
                <w:szCs w:val="24"/>
                <w:highlight w:val="none"/>
              </w:rPr>
              <w:t>1</w:t>
            </w:r>
          </w:p>
        </w:tc>
        <w:tc>
          <w:tcPr>
            <w:tcW w:w="1260" w:type="dxa"/>
            <w:tcBorders>
              <w:top w:val="single" w:color="auto" w:sz="4" w:space="0"/>
              <w:left w:val="single" w:color="auto" w:sz="4" w:space="0"/>
              <w:right w:val="single" w:color="auto" w:sz="4" w:space="0"/>
            </w:tcBorders>
            <w:vAlign w:val="center"/>
          </w:tcPr>
          <w:p w14:paraId="43D0C537">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14:paraId="61955FC3">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00A5EE81">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1430384D">
            <w:pPr>
              <w:jc w:val="center"/>
              <w:rPr>
                <w:rFonts w:ascii="宋体" w:hAnsi="宋体"/>
                <w:sz w:val="24"/>
                <w:szCs w:val="24"/>
                <w:highlight w:val="none"/>
              </w:rPr>
            </w:pPr>
          </w:p>
        </w:tc>
      </w:tr>
      <w:tr w14:paraId="626DD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694BBB73">
            <w:pPr>
              <w:jc w:val="center"/>
              <w:rPr>
                <w:rFonts w:ascii="宋体" w:hAnsi="宋体"/>
                <w:sz w:val="24"/>
                <w:szCs w:val="24"/>
                <w:highlight w:val="none"/>
              </w:rPr>
            </w:pPr>
            <w:r>
              <w:rPr>
                <w:rFonts w:hint="eastAsia" w:ascii="宋体" w:hAnsi="宋体"/>
                <w:sz w:val="24"/>
                <w:szCs w:val="24"/>
                <w:highlight w:val="none"/>
              </w:rPr>
              <w:t>2</w:t>
            </w:r>
          </w:p>
        </w:tc>
        <w:tc>
          <w:tcPr>
            <w:tcW w:w="1260" w:type="dxa"/>
            <w:tcBorders>
              <w:top w:val="single" w:color="auto" w:sz="4" w:space="0"/>
              <w:left w:val="single" w:color="auto" w:sz="4" w:space="0"/>
              <w:right w:val="single" w:color="auto" w:sz="4" w:space="0"/>
            </w:tcBorders>
            <w:vAlign w:val="center"/>
          </w:tcPr>
          <w:p w14:paraId="25D0ADFC">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14:paraId="2D4175A0">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571C773B">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643F51F2">
            <w:pPr>
              <w:jc w:val="center"/>
              <w:rPr>
                <w:rFonts w:ascii="宋体" w:hAnsi="宋体"/>
                <w:sz w:val="24"/>
                <w:szCs w:val="24"/>
                <w:highlight w:val="none"/>
              </w:rPr>
            </w:pPr>
          </w:p>
        </w:tc>
      </w:tr>
      <w:tr w14:paraId="3E4D5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14:paraId="4DA5260C">
            <w:pPr>
              <w:jc w:val="center"/>
              <w:rPr>
                <w:rFonts w:ascii="宋体" w:hAnsi="宋体"/>
                <w:sz w:val="24"/>
                <w:szCs w:val="24"/>
                <w:highlight w:val="none"/>
              </w:rPr>
            </w:pPr>
            <w:r>
              <w:rPr>
                <w:rFonts w:hint="eastAsia" w:ascii="宋体" w:hAnsi="宋体"/>
                <w:sz w:val="24"/>
                <w:szCs w:val="24"/>
                <w:highlight w:val="none"/>
              </w:rPr>
              <w:t>3</w:t>
            </w:r>
          </w:p>
        </w:tc>
        <w:tc>
          <w:tcPr>
            <w:tcW w:w="1260" w:type="dxa"/>
            <w:tcBorders>
              <w:top w:val="single" w:color="auto" w:sz="4" w:space="0"/>
              <w:left w:val="single" w:color="auto" w:sz="4" w:space="0"/>
              <w:right w:val="single" w:color="auto" w:sz="4" w:space="0"/>
            </w:tcBorders>
            <w:vAlign w:val="center"/>
          </w:tcPr>
          <w:p w14:paraId="0F2DDCF9">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14:paraId="328549AE">
            <w:pPr>
              <w:jc w:val="left"/>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48690D44">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14:paraId="0885A9C7">
            <w:pPr>
              <w:jc w:val="center"/>
              <w:rPr>
                <w:rFonts w:ascii="宋体" w:hAnsi="宋体"/>
                <w:sz w:val="24"/>
                <w:szCs w:val="24"/>
                <w:highlight w:val="none"/>
              </w:rPr>
            </w:pPr>
          </w:p>
        </w:tc>
      </w:tr>
    </w:tbl>
    <w:p w14:paraId="2D4B4A35">
      <w:pPr>
        <w:spacing w:line="580" w:lineRule="exact"/>
        <w:ind w:firstLine="480" w:firstLineChars="200"/>
        <w:rPr>
          <w:rFonts w:ascii="宋体" w:hAnsi="宋体"/>
          <w:bCs/>
          <w:sz w:val="24"/>
          <w:szCs w:val="24"/>
          <w:highlight w:val="none"/>
          <w:lang w:val="zh-CN"/>
        </w:rPr>
      </w:pPr>
    </w:p>
    <w:p w14:paraId="47202D23">
      <w:pPr>
        <w:spacing w:line="580" w:lineRule="exact"/>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注：投标人应对照招标文件“第三章评标方法和标准”的相关要求，根据自身响应情况填写上表；并在“</w:t>
      </w:r>
      <w:r>
        <w:rPr>
          <w:rFonts w:hint="eastAsia" w:ascii="宋体" w:hAnsi="宋体"/>
          <w:sz w:val="24"/>
          <w:szCs w:val="24"/>
          <w:highlight w:val="none"/>
        </w:rPr>
        <w:t>响应情况</w:t>
      </w:r>
      <w:r>
        <w:rPr>
          <w:rFonts w:hint="eastAsia" w:ascii="宋体" w:hAnsi="宋体"/>
          <w:bCs/>
          <w:sz w:val="24"/>
          <w:szCs w:val="24"/>
          <w:highlight w:val="none"/>
          <w:lang w:val="zh-CN"/>
        </w:rPr>
        <w:t>”栏填入所提供的证明材料清单，</w:t>
      </w:r>
      <w:r>
        <w:rPr>
          <w:rFonts w:hint="eastAsia" w:ascii="宋体" w:hAnsi="宋体"/>
          <w:bCs/>
          <w:sz w:val="24"/>
          <w:szCs w:val="24"/>
          <w:highlight w:val="none"/>
        </w:rPr>
        <w:t>没有证明材料的此栏填“无”</w:t>
      </w:r>
      <w:r>
        <w:rPr>
          <w:rFonts w:hint="eastAsia" w:ascii="宋体" w:hAnsi="宋体"/>
          <w:bCs/>
          <w:sz w:val="24"/>
          <w:szCs w:val="24"/>
          <w:highlight w:val="none"/>
          <w:lang w:val="zh-CN"/>
        </w:rPr>
        <w:t>。</w:t>
      </w:r>
    </w:p>
    <w:p w14:paraId="097C95DA">
      <w:pPr>
        <w:tabs>
          <w:tab w:val="left" w:pos="255"/>
        </w:tabs>
        <w:spacing w:line="360" w:lineRule="auto"/>
        <w:ind w:left="420" w:leftChars="200" w:firstLine="480" w:firstLineChars="200"/>
        <w:rPr>
          <w:rFonts w:ascii="宋体" w:hAnsi="宋体"/>
          <w:sz w:val="24"/>
          <w:szCs w:val="21"/>
          <w:highlight w:val="none"/>
          <w:lang w:val="zh-CN"/>
        </w:rPr>
      </w:pPr>
    </w:p>
    <w:p w14:paraId="445ADF9E">
      <w:pPr>
        <w:jc w:val="center"/>
        <w:rPr>
          <w:rFonts w:ascii="黑体" w:hAnsi="宋体" w:eastAsia="黑体"/>
          <w:sz w:val="32"/>
          <w:szCs w:val="32"/>
          <w:highlight w:val="none"/>
        </w:rPr>
      </w:pPr>
      <w:r>
        <w:rPr>
          <w:rFonts w:hint="eastAsia" w:ascii="宋体" w:hAnsi="宋体"/>
          <w:sz w:val="24"/>
          <w:szCs w:val="21"/>
          <w:highlight w:val="none"/>
          <w:lang w:val="zh-CN"/>
        </w:rPr>
        <w:t>投标人签名：                                    日期：</w:t>
      </w:r>
    </w:p>
    <w:p w14:paraId="5F47DD00">
      <w:pPr>
        <w:tabs>
          <w:tab w:val="left" w:pos="255"/>
        </w:tabs>
        <w:spacing w:line="360" w:lineRule="auto"/>
        <w:jc w:val="left"/>
        <w:rPr>
          <w:rFonts w:ascii="黑体" w:hAnsi="宋体" w:eastAsia="黑体"/>
          <w:bCs/>
          <w:sz w:val="24"/>
          <w:szCs w:val="24"/>
          <w:highlight w:val="none"/>
        </w:rPr>
      </w:pPr>
    </w:p>
    <w:p w14:paraId="2E6AC822">
      <w:pPr>
        <w:tabs>
          <w:tab w:val="left" w:pos="255"/>
        </w:tabs>
        <w:spacing w:line="360" w:lineRule="auto"/>
        <w:jc w:val="left"/>
        <w:rPr>
          <w:rFonts w:ascii="黑体" w:hAnsi="宋体" w:eastAsia="黑体"/>
          <w:bCs/>
          <w:sz w:val="24"/>
          <w:szCs w:val="24"/>
          <w:highlight w:val="none"/>
        </w:rPr>
      </w:pPr>
    </w:p>
    <w:p w14:paraId="309FAA42">
      <w:pPr>
        <w:tabs>
          <w:tab w:val="left" w:pos="255"/>
        </w:tabs>
        <w:spacing w:line="360" w:lineRule="auto"/>
        <w:jc w:val="left"/>
        <w:rPr>
          <w:rFonts w:ascii="黑体" w:hAnsi="宋体" w:eastAsia="黑体"/>
          <w:bCs/>
          <w:sz w:val="24"/>
          <w:szCs w:val="24"/>
          <w:highlight w:val="none"/>
        </w:rPr>
      </w:pPr>
    </w:p>
    <w:p w14:paraId="317F11A7">
      <w:pPr>
        <w:tabs>
          <w:tab w:val="left" w:pos="255"/>
        </w:tabs>
        <w:spacing w:line="360" w:lineRule="auto"/>
        <w:jc w:val="left"/>
        <w:rPr>
          <w:rFonts w:ascii="黑体" w:hAnsi="宋体" w:eastAsia="黑体"/>
          <w:bCs/>
          <w:sz w:val="24"/>
          <w:szCs w:val="24"/>
          <w:highlight w:val="none"/>
        </w:rPr>
      </w:pPr>
    </w:p>
    <w:p w14:paraId="1F2B3727">
      <w:pPr>
        <w:tabs>
          <w:tab w:val="left" w:pos="255"/>
        </w:tabs>
        <w:spacing w:line="360" w:lineRule="auto"/>
        <w:jc w:val="left"/>
        <w:rPr>
          <w:rFonts w:ascii="黑体" w:hAnsi="宋体" w:eastAsia="黑体"/>
          <w:bCs/>
          <w:sz w:val="24"/>
          <w:szCs w:val="24"/>
          <w:highlight w:val="none"/>
        </w:rPr>
      </w:pPr>
    </w:p>
    <w:p w14:paraId="18BB3AE3">
      <w:pPr>
        <w:tabs>
          <w:tab w:val="left" w:pos="255"/>
        </w:tabs>
        <w:spacing w:line="360" w:lineRule="auto"/>
        <w:jc w:val="left"/>
        <w:rPr>
          <w:rFonts w:ascii="黑体" w:hAnsi="宋体" w:eastAsia="黑体"/>
          <w:bCs/>
          <w:sz w:val="24"/>
          <w:szCs w:val="24"/>
          <w:highlight w:val="none"/>
        </w:rPr>
      </w:pPr>
    </w:p>
    <w:p w14:paraId="7058AE8E">
      <w:pPr>
        <w:tabs>
          <w:tab w:val="left" w:pos="255"/>
        </w:tabs>
        <w:spacing w:line="360" w:lineRule="auto"/>
        <w:jc w:val="left"/>
        <w:rPr>
          <w:rFonts w:ascii="黑体" w:hAnsi="宋体" w:eastAsia="黑体"/>
          <w:bCs/>
          <w:sz w:val="24"/>
          <w:szCs w:val="24"/>
          <w:highlight w:val="none"/>
        </w:rPr>
      </w:pPr>
    </w:p>
    <w:p w14:paraId="5565D54F">
      <w:pPr>
        <w:tabs>
          <w:tab w:val="left" w:pos="255"/>
        </w:tabs>
        <w:spacing w:line="360" w:lineRule="auto"/>
        <w:jc w:val="left"/>
        <w:rPr>
          <w:rFonts w:ascii="黑体" w:hAnsi="宋体" w:eastAsia="黑体"/>
          <w:bCs/>
          <w:sz w:val="24"/>
          <w:szCs w:val="24"/>
          <w:highlight w:val="none"/>
        </w:rPr>
      </w:pPr>
    </w:p>
    <w:p w14:paraId="6F6D0E6F">
      <w:pPr>
        <w:tabs>
          <w:tab w:val="left" w:pos="255"/>
        </w:tabs>
        <w:spacing w:line="360" w:lineRule="auto"/>
        <w:jc w:val="left"/>
        <w:rPr>
          <w:rFonts w:ascii="黑体" w:hAnsi="宋体" w:eastAsia="黑体"/>
          <w:bCs/>
          <w:sz w:val="24"/>
          <w:szCs w:val="24"/>
          <w:highlight w:val="none"/>
        </w:rPr>
      </w:pPr>
    </w:p>
    <w:p w14:paraId="4D4AEFCD">
      <w:pPr>
        <w:tabs>
          <w:tab w:val="left" w:pos="255"/>
        </w:tabs>
        <w:spacing w:line="360" w:lineRule="auto"/>
        <w:jc w:val="left"/>
        <w:rPr>
          <w:rFonts w:ascii="黑体" w:hAnsi="宋体" w:eastAsia="黑体"/>
          <w:bCs/>
          <w:sz w:val="24"/>
          <w:szCs w:val="24"/>
          <w:highlight w:val="none"/>
        </w:rPr>
      </w:pPr>
    </w:p>
    <w:p w14:paraId="2A4085A9">
      <w:pPr>
        <w:tabs>
          <w:tab w:val="left" w:pos="255"/>
        </w:tabs>
        <w:spacing w:line="360" w:lineRule="auto"/>
        <w:jc w:val="left"/>
        <w:rPr>
          <w:rFonts w:ascii="黑体" w:hAnsi="宋体" w:eastAsia="黑体"/>
          <w:bCs/>
          <w:sz w:val="24"/>
          <w:szCs w:val="24"/>
          <w:highlight w:val="none"/>
        </w:rPr>
      </w:pPr>
    </w:p>
    <w:p w14:paraId="14A6F8C9">
      <w:pPr>
        <w:tabs>
          <w:tab w:val="left" w:pos="255"/>
        </w:tabs>
        <w:spacing w:line="360" w:lineRule="auto"/>
        <w:jc w:val="left"/>
        <w:rPr>
          <w:rFonts w:ascii="黑体" w:hAnsi="宋体" w:eastAsia="黑体"/>
          <w:bCs/>
          <w:sz w:val="24"/>
          <w:szCs w:val="24"/>
          <w:highlight w:val="none"/>
        </w:rPr>
      </w:pPr>
    </w:p>
    <w:p w14:paraId="500D6EE9">
      <w:pPr>
        <w:tabs>
          <w:tab w:val="left" w:pos="255"/>
        </w:tabs>
        <w:spacing w:line="360" w:lineRule="auto"/>
        <w:jc w:val="left"/>
        <w:rPr>
          <w:rFonts w:ascii="黑体" w:hAnsi="宋体" w:eastAsia="黑体"/>
          <w:bCs/>
          <w:sz w:val="24"/>
          <w:szCs w:val="24"/>
          <w:highlight w:val="none"/>
        </w:rPr>
      </w:pPr>
      <w:r>
        <w:rPr>
          <w:rFonts w:hint="eastAsia" w:ascii="黑体" w:hAnsi="宋体" w:eastAsia="黑体"/>
          <w:bCs/>
          <w:sz w:val="24"/>
          <w:szCs w:val="24"/>
          <w:highlight w:val="none"/>
        </w:rPr>
        <w:t>（七）、品牌承诺表</w:t>
      </w:r>
    </w:p>
    <w:p w14:paraId="5735B74A">
      <w:pPr>
        <w:tabs>
          <w:tab w:val="left" w:pos="255"/>
        </w:tabs>
        <w:spacing w:beforeLines="50" w:afterLines="50" w:line="360" w:lineRule="auto"/>
        <w:jc w:val="center"/>
        <w:rPr>
          <w:rFonts w:ascii="黑体" w:hAnsi="黑体" w:eastAsia="黑体" w:cs="Times New Roman"/>
          <w:sz w:val="28"/>
          <w:szCs w:val="21"/>
          <w:highlight w:val="none"/>
          <w:lang w:val="zh-CN"/>
        </w:rPr>
      </w:pPr>
      <w:r>
        <w:rPr>
          <w:rFonts w:hint="eastAsia" w:ascii="黑体" w:hAnsi="黑体" w:eastAsia="黑体" w:cs="Times New Roman"/>
          <w:sz w:val="28"/>
          <w:szCs w:val="21"/>
          <w:highlight w:val="none"/>
          <w:lang w:val="zh-CN"/>
        </w:rPr>
        <w:t>材料设备品牌承诺表</w:t>
      </w:r>
    </w:p>
    <w:p w14:paraId="6BA87098">
      <w:pPr>
        <w:tabs>
          <w:tab w:val="left" w:pos="255"/>
        </w:tabs>
        <w:spacing w:beforeLines="50" w:afterLines="50"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 xml:space="preserve">投标人名称（盖章）：               </w:t>
      </w:r>
      <w:r>
        <w:rPr>
          <w:rFonts w:hint="eastAsia" w:ascii="宋体" w:hAnsi="宋体"/>
          <w:sz w:val="24"/>
          <w:szCs w:val="21"/>
          <w:highlight w:val="none"/>
          <w:lang w:val="zh-CN"/>
        </w:rPr>
        <w:t xml:space="preserve">项目编号：YXGQ2025333 </w:t>
      </w:r>
    </w:p>
    <w:tbl>
      <w:tblPr>
        <w:tblStyle w:val="27"/>
        <w:tblW w:w="9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549"/>
        <w:gridCol w:w="3825"/>
        <w:gridCol w:w="1544"/>
        <w:gridCol w:w="1123"/>
      </w:tblGrid>
      <w:tr w14:paraId="445EE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46CC1C68">
            <w:pPr>
              <w:pStyle w:val="66"/>
              <w:spacing w:line="320" w:lineRule="exact"/>
              <w:jc w:val="center"/>
              <w:rPr>
                <w:rFonts w:ascii="宋体" w:hAnsi="宋体" w:cs="宋体"/>
                <w:bCs/>
                <w:szCs w:val="21"/>
                <w:highlight w:val="none"/>
              </w:rPr>
            </w:pPr>
            <w:r>
              <w:rPr>
                <w:rFonts w:hint="eastAsia" w:ascii="宋体" w:hAnsi="宋体" w:cs="宋体"/>
                <w:bCs/>
                <w:szCs w:val="21"/>
                <w:highlight w:val="none"/>
              </w:rPr>
              <w:t>序号</w:t>
            </w:r>
          </w:p>
        </w:tc>
        <w:tc>
          <w:tcPr>
            <w:tcW w:w="2549" w:type="dxa"/>
            <w:tcBorders>
              <w:top w:val="single" w:color="auto" w:sz="4" w:space="0"/>
              <w:left w:val="single" w:color="auto" w:sz="4" w:space="0"/>
              <w:bottom w:val="single" w:color="auto" w:sz="4" w:space="0"/>
              <w:right w:val="single" w:color="auto" w:sz="4" w:space="0"/>
            </w:tcBorders>
            <w:vAlign w:val="center"/>
          </w:tcPr>
          <w:p w14:paraId="554203F9">
            <w:pPr>
              <w:pStyle w:val="66"/>
              <w:spacing w:line="320" w:lineRule="exact"/>
              <w:jc w:val="center"/>
              <w:rPr>
                <w:rFonts w:ascii="宋体" w:hAnsi="宋体" w:cs="宋体"/>
                <w:bCs/>
                <w:szCs w:val="21"/>
                <w:highlight w:val="none"/>
              </w:rPr>
            </w:pPr>
            <w:r>
              <w:rPr>
                <w:rFonts w:hint="eastAsia" w:ascii="宋体" w:hAnsi="宋体" w:cs="宋体"/>
                <w:bCs/>
                <w:szCs w:val="21"/>
                <w:highlight w:val="none"/>
              </w:rPr>
              <w:t>材料设备名称</w:t>
            </w:r>
          </w:p>
        </w:tc>
        <w:tc>
          <w:tcPr>
            <w:tcW w:w="3825" w:type="dxa"/>
            <w:tcBorders>
              <w:top w:val="single" w:color="auto" w:sz="4" w:space="0"/>
              <w:left w:val="single" w:color="auto" w:sz="4" w:space="0"/>
              <w:bottom w:val="single" w:color="auto" w:sz="4" w:space="0"/>
              <w:right w:val="single" w:color="auto" w:sz="4" w:space="0"/>
            </w:tcBorders>
            <w:vAlign w:val="center"/>
          </w:tcPr>
          <w:p w14:paraId="0545276F">
            <w:pPr>
              <w:pStyle w:val="66"/>
              <w:spacing w:line="320" w:lineRule="exact"/>
              <w:jc w:val="center"/>
              <w:rPr>
                <w:rFonts w:ascii="宋体" w:hAnsi="宋体" w:cs="宋体"/>
                <w:bCs/>
                <w:szCs w:val="21"/>
                <w:highlight w:val="none"/>
              </w:rPr>
            </w:pPr>
            <w:r>
              <w:rPr>
                <w:rFonts w:hint="eastAsia" w:ascii="宋体" w:hAnsi="宋体" w:cs="宋体"/>
                <w:bCs/>
                <w:szCs w:val="21"/>
                <w:highlight w:val="none"/>
              </w:rPr>
              <w:t>参照（或相当于）品牌（型号）</w:t>
            </w:r>
          </w:p>
        </w:tc>
        <w:tc>
          <w:tcPr>
            <w:tcW w:w="1544" w:type="dxa"/>
            <w:tcBorders>
              <w:top w:val="single" w:color="auto" w:sz="4" w:space="0"/>
              <w:left w:val="single" w:color="auto" w:sz="4" w:space="0"/>
              <w:bottom w:val="single" w:color="auto" w:sz="4" w:space="0"/>
              <w:right w:val="single" w:color="auto" w:sz="4" w:space="0"/>
            </w:tcBorders>
            <w:vAlign w:val="center"/>
          </w:tcPr>
          <w:p w14:paraId="75073873">
            <w:pPr>
              <w:pStyle w:val="66"/>
              <w:spacing w:line="320" w:lineRule="exact"/>
              <w:jc w:val="center"/>
              <w:rPr>
                <w:rFonts w:ascii="宋体" w:hAnsi="宋体" w:cs="宋体"/>
                <w:bCs/>
                <w:szCs w:val="21"/>
                <w:highlight w:val="none"/>
              </w:rPr>
            </w:pPr>
            <w:r>
              <w:rPr>
                <w:rFonts w:hint="eastAsia" w:ascii="宋体" w:hAnsi="宋体" w:cs="宋体"/>
                <w:bCs/>
                <w:szCs w:val="21"/>
                <w:highlight w:val="none"/>
              </w:rPr>
              <w:t>投标人承诺</w:t>
            </w:r>
          </w:p>
          <w:p w14:paraId="6B7F7F53">
            <w:pPr>
              <w:pStyle w:val="66"/>
              <w:spacing w:line="320" w:lineRule="exact"/>
              <w:jc w:val="center"/>
              <w:rPr>
                <w:rFonts w:ascii="宋体" w:hAnsi="宋体" w:cs="宋体"/>
                <w:bCs/>
                <w:szCs w:val="21"/>
                <w:highlight w:val="none"/>
              </w:rPr>
            </w:pPr>
            <w:r>
              <w:rPr>
                <w:rFonts w:hint="eastAsia" w:ascii="宋体" w:hAnsi="宋体" w:cs="宋体"/>
                <w:bCs/>
                <w:szCs w:val="21"/>
                <w:highlight w:val="none"/>
              </w:rPr>
              <w:t>品牌(型号)</w:t>
            </w:r>
          </w:p>
        </w:tc>
        <w:tc>
          <w:tcPr>
            <w:tcW w:w="1123" w:type="dxa"/>
            <w:tcBorders>
              <w:top w:val="single" w:color="auto" w:sz="4" w:space="0"/>
              <w:left w:val="single" w:color="auto" w:sz="4" w:space="0"/>
              <w:bottom w:val="single" w:color="auto" w:sz="4" w:space="0"/>
              <w:right w:val="single" w:color="auto" w:sz="4" w:space="0"/>
            </w:tcBorders>
            <w:vAlign w:val="center"/>
          </w:tcPr>
          <w:p w14:paraId="50E1880A">
            <w:pPr>
              <w:pStyle w:val="66"/>
              <w:spacing w:line="320" w:lineRule="exact"/>
              <w:jc w:val="center"/>
              <w:rPr>
                <w:rFonts w:ascii="宋体" w:hAnsi="宋体" w:cs="宋体"/>
                <w:bCs/>
                <w:szCs w:val="21"/>
                <w:highlight w:val="none"/>
              </w:rPr>
            </w:pPr>
            <w:r>
              <w:rPr>
                <w:rFonts w:hint="eastAsia" w:ascii="宋体" w:hAnsi="宋体" w:cs="宋体"/>
                <w:bCs/>
                <w:szCs w:val="21"/>
                <w:highlight w:val="none"/>
              </w:rPr>
              <w:t>备注</w:t>
            </w:r>
          </w:p>
        </w:tc>
      </w:tr>
      <w:tr w14:paraId="38D0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0BB8CC8">
            <w:pPr>
              <w:pStyle w:val="66"/>
              <w:jc w:val="center"/>
              <w:rPr>
                <w:rFonts w:ascii="宋体" w:hAnsi="宋体" w:cs="宋体"/>
                <w:szCs w:val="21"/>
                <w:highlight w:val="none"/>
              </w:rPr>
            </w:pPr>
            <w:r>
              <w:rPr>
                <w:rFonts w:hint="eastAsia" w:ascii="宋体" w:hAnsi="宋体" w:cs="宋体"/>
                <w:szCs w:val="21"/>
                <w:highlight w:val="none"/>
              </w:rPr>
              <w:t>1</w:t>
            </w:r>
          </w:p>
        </w:tc>
        <w:tc>
          <w:tcPr>
            <w:tcW w:w="2549" w:type="dxa"/>
            <w:tcBorders>
              <w:top w:val="single" w:color="auto" w:sz="4" w:space="0"/>
              <w:left w:val="single" w:color="auto" w:sz="4" w:space="0"/>
              <w:bottom w:val="single" w:color="auto" w:sz="4" w:space="0"/>
              <w:right w:val="single" w:color="auto" w:sz="4" w:space="0"/>
            </w:tcBorders>
            <w:vAlign w:val="center"/>
          </w:tcPr>
          <w:p w14:paraId="134A79B9">
            <w:pPr>
              <w:pStyle w:val="66"/>
              <w:spacing w:line="320" w:lineRule="exact"/>
              <w:jc w:val="center"/>
              <w:rPr>
                <w:rFonts w:ascii="宋体" w:hAnsi="宋体" w:cs="宋体"/>
                <w:bCs/>
                <w:szCs w:val="21"/>
                <w:highlight w:val="none"/>
              </w:rPr>
            </w:pPr>
            <w:r>
              <w:rPr>
                <w:rFonts w:hint="eastAsia" w:ascii="宋体" w:hAnsi="宋体" w:cs="宋体"/>
                <w:bCs/>
                <w:szCs w:val="21"/>
                <w:highlight w:val="none"/>
              </w:rPr>
              <w:t>控制柜其主开关、断路器、互感器、接触器、继电器等电气元器件</w:t>
            </w:r>
          </w:p>
        </w:tc>
        <w:tc>
          <w:tcPr>
            <w:tcW w:w="3825" w:type="dxa"/>
            <w:tcBorders>
              <w:top w:val="single" w:color="auto" w:sz="4" w:space="0"/>
              <w:left w:val="single" w:color="auto" w:sz="4" w:space="0"/>
              <w:bottom w:val="single" w:color="auto" w:sz="4" w:space="0"/>
              <w:right w:val="single" w:color="auto" w:sz="4" w:space="0"/>
            </w:tcBorders>
            <w:vAlign w:val="center"/>
          </w:tcPr>
          <w:p w14:paraId="673108E4">
            <w:pPr>
              <w:pStyle w:val="66"/>
              <w:spacing w:line="320" w:lineRule="exact"/>
              <w:jc w:val="center"/>
              <w:rPr>
                <w:rFonts w:ascii="宋体" w:hAnsi="宋体" w:cs="宋体"/>
                <w:bCs/>
                <w:szCs w:val="21"/>
                <w:highlight w:val="none"/>
              </w:rPr>
            </w:pPr>
            <w:r>
              <w:rPr>
                <w:rFonts w:hint="eastAsia" w:ascii="宋体" w:hAnsi="宋体" w:cs="宋体"/>
                <w:bCs/>
                <w:szCs w:val="21"/>
                <w:highlight w:val="none"/>
              </w:rPr>
              <w:t>ABB、西门子、施耐德</w:t>
            </w:r>
          </w:p>
        </w:tc>
        <w:tc>
          <w:tcPr>
            <w:tcW w:w="1544" w:type="dxa"/>
            <w:tcBorders>
              <w:top w:val="single" w:color="auto" w:sz="4" w:space="0"/>
              <w:left w:val="single" w:color="auto" w:sz="4" w:space="0"/>
              <w:bottom w:val="single" w:color="auto" w:sz="4" w:space="0"/>
              <w:right w:val="single" w:color="auto" w:sz="4" w:space="0"/>
            </w:tcBorders>
            <w:vAlign w:val="center"/>
          </w:tcPr>
          <w:p w14:paraId="4DD5F77F">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1D86D6FD">
            <w:pPr>
              <w:pStyle w:val="66"/>
              <w:spacing w:line="320" w:lineRule="exact"/>
              <w:rPr>
                <w:rFonts w:ascii="宋体" w:hAnsi="宋体" w:cs="宋体"/>
                <w:bCs/>
                <w:szCs w:val="21"/>
                <w:highlight w:val="none"/>
              </w:rPr>
            </w:pPr>
          </w:p>
        </w:tc>
      </w:tr>
      <w:tr w14:paraId="420C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D5C4EB4">
            <w:pPr>
              <w:pStyle w:val="66"/>
              <w:jc w:val="center"/>
              <w:rPr>
                <w:rFonts w:ascii="宋体" w:hAnsi="宋体" w:cs="宋体"/>
                <w:szCs w:val="21"/>
                <w:highlight w:val="none"/>
              </w:rPr>
            </w:pPr>
            <w:r>
              <w:rPr>
                <w:rFonts w:hint="eastAsia" w:ascii="宋体" w:hAnsi="宋体" w:cs="宋体"/>
                <w:szCs w:val="21"/>
                <w:highlight w:val="none"/>
              </w:rPr>
              <w:t>2</w:t>
            </w:r>
          </w:p>
        </w:tc>
        <w:tc>
          <w:tcPr>
            <w:tcW w:w="2549" w:type="dxa"/>
            <w:tcBorders>
              <w:top w:val="single" w:color="auto" w:sz="4" w:space="0"/>
              <w:left w:val="single" w:color="auto" w:sz="4" w:space="0"/>
              <w:bottom w:val="single" w:color="auto" w:sz="4" w:space="0"/>
              <w:right w:val="single" w:color="auto" w:sz="4" w:space="0"/>
            </w:tcBorders>
            <w:vAlign w:val="center"/>
          </w:tcPr>
          <w:p w14:paraId="7A842B27">
            <w:pPr>
              <w:pStyle w:val="66"/>
              <w:spacing w:line="320" w:lineRule="exact"/>
              <w:jc w:val="center"/>
              <w:rPr>
                <w:rFonts w:ascii="宋体" w:hAnsi="宋体" w:cs="宋体"/>
                <w:bCs/>
                <w:szCs w:val="21"/>
                <w:highlight w:val="none"/>
              </w:rPr>
            </w:pPr>
            <w:r>
              <w:rPr>
                <w:rFonts w:hint="eastAsia" w:ascii="宋体" w:hAnsi="宋体" w:cs="宋体"/>
                <w:bCs/>
                <w:szCs w:val="21"/>
                <w:highlight w:val="none"/>
              </w:rPr>
              <w:t>压力变送器</w:t>
            </w:r>
          </w:p>
        </w:tc>
        <w:tc>
          <w:tcPr>
            <w:tcW w:w="3825" w:type="dxa"/>
            <w:tcBorders>
              <w:top w:val="single" w:color="auto" w:sz="4" w:space="0"/>
              <w:left w:val="single" w:color="auto" w:sz="4" w:space="0"/>
              <w:bottom w:val="single" w:color="auto" w:sz="4" w:space="0"/>
              <w:right w:val="single" w:color="auto" w:sz="4" w:space="0"/>
            </w:tcBorders>
            <w:vAlign w:val="center"/>
          </w:tcPr>
          <w:p w14:paraId="2FC18B72">
            <w:pPr>
              <w:pStyle w:val="66"/>
              <w:spacing w:line="320" w:lineRule="exact"/>
              <w:jc w:val="center"/>
              <w:rPr>
                <w:rFonts w:ascii="宋体" w:hAnsi="宋体" w:cs="宋体"/>
                <w:bCs/>
                <w:szCs w:val="21"/>
                <w:highlight w:val="none"/>
              </w:rPr>
            </w:pPr>
            <w:r>
              <w:rPr>
                <w:rFonts w:hint="eastAsia" w:ascii="宋体" w:hAnsi="宋体" w:cs="宋体"/>
                <w:bCs/>
                <w:szCs w:val="21"/>
                <w:highlight w:val="none"/>
              </w:rPr>
              <w:t>西门子、ABB、丹佛斯</w:t>
            </w:r>
            <w:r>
              <w:rPr>
                <w:rFonts w:hint="eastAsia" w:ascii="宋体" w:hAnsi="宋体" w:cs="宋体"/>
                <w:szCs w:val="21"/>
                <w:highlight w:val="none"/>
              </w:rPr>
              <w:t>、</w:t>
            </w:r>
            <w:r>
              <w:rPr>
                <w:rFonts w:hint="eastAsia" w:ascii="宋体" w:hAnsi="宋体" w:cs="宋体"/>
                <w:bCs/>
                <w:szCs w:val="21"/>
                <w:highlight w:val="none"/>
              </w:rPr>
              <w:t xml:space="preserve">E+H </w:t>
            </w:r>
          </w:p>
        </w:tc>
        <w:tc>
          <w:tcPr>
            <w:tcW w:w="1544" w:type="dxa"/>
            <w:tcBorders>
              <w:top w:val="single" w:color="auto" w:sz="4" w:space="0"/>
              <w:left w:val="single" w:color="auto" w:sz="4" w:space="0"/>
              <w:bottom w:val="single" w:color="auto" w:sz="4" w:space="0"/>
              <w:right w:val="single" w:color="auto" w:sz="4" w:space="0"/>
            </w:tcBorders>
            <w:vAlign w:val="center"/>
          </w:tcPr>
          <w:p w14:paraId="7C59CF38">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193D87FB">
            <w:pPr>
              <w:pStyle w:val="66"/>
              <w:spacing w:line="320" w:lineRule="exact"/>
              <w:rPr>
                <w:rFonts w:ascii="宋体" w:hAnsi="宋体" w:cs="宋体"/>
                <w:bCs/>
                <w:szCs w:val="21"/>
                <w:highlight w:val="none"/>
              </w:rPr>
            </w:pPr>
          </w:p>
        </w:tc>
      </w:tr>
      <w:tr w14:paraId="1FA5E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56E783AC">
            <w:pPr>
              <w:pStyle w:val="66"/>
              <w:jc w:val="center"/>
              <w:rPr>
                <w:rFonts w:ascii="宋体" w:hAnsi="宋体" w:cs="宋体"/>
                <w:szCs w:val="21"/>
                <w:highlight w:val="none"/>
              </w:rPr>
            </w:pPr>
            <w:r>
              <w:rPr>
                <w:rFonts w:hint="eastAsia" w:ascii="宋体" w:hAnsi="宋体" w:cs="宋体"/>
                <w:szCs w:val="21"/>
                <w:highlight w:val="none"/>
              </w:rPr>
              <w:t>3</w:t>
            </w:r>
          </w:p>
        </w:tc>
        <w:tc>
          <w:tcPr>
            <w:tcW w:w="2549" w:type="dxa"/>
            <w:tcBorders>
              <w:top w:val="single" w:color="auto" w:sz="4" w:space="0"/>
              <w:left w:val="single" w:color="auto" w:sz="4" w:space="0"/>
              <w:bottom w:val="single" w:color="auto" w:sz="4" w:space="0"/>
              <w:right w:val="single" w:color="auto" w:sz="4" w:space="0"/>
            </w:tcBorders>
            <w:vAlign w:val="center"/>
          </w:tcPr>
          <w:p w14:paraId="3393D119">
            <w:pPr>
              <w:pStyle w:val="66"/>
              <w:spacing w:line="320" w:lineRule="exact"/>
              <w:jc w:val="center"/>
              <w:rPr>
                <w:rFonts w:ascii="宋体" w:hAnsi="宋体" w:cs="宋体"/>
                <w:bCs/>
                <w:szCs w:val="21"/>
                <w:highlight w:val="none"/>
              </w:rPr>
            </w:pPr>
            <w:r>
              <w:rPr>
                <w:rFonts w:hint="eastAsia" w:ascii="宋体" w:hAnsi="宋体" w:cs="宋体"/>
                <w:bCs/>
                <w:szCs w:val="21"/>
                <w:highlight w:val="none"/>
              </w:rPr>
              <w:t>压力开关</w:t>
            </w:r>
          </w:p>
        </w:tc>
        <w:tc>
          <w:tcPr>
            <w:tcW w:w="3825" w:type="dxa"/>
            <w:tcBorders>
              <w:top w:val="single" w:color="auto" w:sz="4" w:space="0"/>
              <w:left w:val="single" w:color="auto" w:sz="4" w:space="0"/>
              <w:bottom w:val="single" w:color="auto" w:sz="4" w:space="0"/>
              <w:right w:val="single" w:color="auto" w:sz="4" w:space="0"/>
            </w:tcBorders>
            <w:vAlign w:val="center"/>
          </w:tcPr>
          <w:p w14:paraId="5E896C2F">
            <w:pPr>
              <w:pStyle w:val="66"/>
              <w:spacing w:line="320" w:lineRule="exact"/>
              <w:jc w:val="center"/>
              <w:rPr>
                <w:rFonts w:ascii="宋体" w:hAnsi="宋体" w:cs="宋体"/>
                <w:bCs/>
                <w:szCs w:val="21"/>
                <w:highlight w:val="none"/>
              </w:rPr>
            </w:pPr>
            <w:r>
              <w:rPr>
                <w:rFonts w:hint="eastAsia" w:ascii="宋体" w:hAnsi="宋体" w:cs="宋体"/>
                <w:kern w:val="0"/>
                <w:szCs w:val="21"/>
                <w:highlight w:val="none"/>
              </w:rPr>
              <w:t>西门子、施耐德、瑞士huba、丹佛斯</w:t>
            </w:r>
          </w:p>
        </w:tc>
        <w:tc>
          <w:tcPr>
            <w:tcW w:w="1544" w:type="dxa"/>
            <w:tcBorders>
              <w:top w:val="single" w:color="auto" w:sz="4" w:space="0"/>
              <w:left w:val="single" w:color="auto" w:sz="4" w:space="0"/>
              <w:bottom w:val="single" w:color="auto" w:sz="4" w:space="0"/>
              <w:right w:val="single" w:color="auto" w:sz="4" w:space="0"/>
            </w:tcBorders>
            <w:vAlign w:val="center"/>
          </w:tcPr>
          <w:p w14:paraId="79AA0FFE">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7C2F1C06">
            <w:pPr>
              <w:pStyle w:val="66"/>
              <w:spacing w:line="320" w:lineRule="exact"/>
              <w:rPr>
                <w:rFonts w:ascii="宋体" w:hAnsi="宋体" w:cs="宋体"/>
                <w:bCs/>
                <w:szCs w:val="21"/>
                <w:highlight w:val="none"/>
              </w:rPr>
            </w:pPr>
          </w:p>
        </w:tc>
      </w:tr>
      <w:tr w14:paraId="264D9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8064EED">
            <w:pPr>
              <w:pStyle w:val="66"/>
              <w:jc w:val="center"/>
              <w:rPr>
                <w:rFonts w:ascii="宋体" w:hAnsi="宋体" w:cs="宋体"/>
                <w:szCs w:val="21"/>
                <w:highlight w:val="none"/>
              </w:rPr>
            </w:pPr>
            <w:r>
              <w:rPr>
                <w:rFonts w:hint="eastAsia" w:ascii="宋体" w:hAnsi="宋体" w:cs="宋体"/>
                <w:szCs w:val="21"/>
                <w:highlight w:val="none"/>
              </w:rPr>
              <w:t>4</w:t>
            </w:r>
          </w:p>
        </w:tc>
        <w:tc>
          <w:tcPr>
            <w:tcW w:w="2549" w:type="dxa"/>
            <w:tcBorders>
              <w:top w:val="single" w:color="auto" w:sz="4" w:space="0"/>
              <w:left w:val="single" w:color="auto" w:sz="4" w:space="0"/>
              <w:bottom w:val="single" w:color="auto" w:sz="4" w:space="0"/>
              <w:right w:val="single" w:color="auto" w:sz="4" w:space="0"/>
            </w:tcBorders>
            <w:vAlign w:val="center"/>
          </w:tcPr>
          <w:p w14:paraId="2AA71DF4">
            <w:pPr>
              <w:pStyle w:val="66"/>
              <w:spacing w:line="320" w:lineRule="exact"/>
              <w:jc w:val="center"/>
              <w:rPr>
                <w:rFonts w:ascii="宋体" w:hAnsi="宋体" w:cs="宋体"/>
                <w:bCs/>
                <w:szCs w:val="21"/>
                <w:highlight w:val="none"/>
              </w:rPr>
            </w:pPr>
            <w:r>
              <w:rPr>
                <w:rFonts w:hint="eastAsia" w:ascii="宋体" w:hAnsi="宋体" w:cs="宋体"/>
                <w:bCs/>
                <w:szCs w:val="21"/>
                <w:highlight w:val="none"/>
              </w:rPr>
              <w:t>不间断电源（UPS）</w:t>
            </w:r>
          </w:p>
        </w:tc>
        <w:tc>
          <w:tcPr>
            <w:tcW w:w="3825" w:type="dxa"/>
            <w:tcBorders>
              <w:top w:val="single" w:color="auto" w:sz="4" w:space="0"/>
              <w:left w:val="single" w:color="auto" w:sz="4" w:space="0"/>
              <w:bottom w:val="single" w:color="auto" w:sz="4" w:space="0"/>
              <w:right w:val="single" w:color="auto" w:sz="4" w:space="0"/>
            </w:tcBorders>
            <w:vAlign w:val="center"/>
          </w:tcPr>
          <w:p w14:paraId="3A38BC1D">
            <w:pPr>
              <w:pStyle w:val="66"/>
              <w:spacing w:line="320" w:lineRule="exact"/>
              <w:jc w:val="center"/>
              <w:rPr>
                <w:rFonts w:ascii="宋体" w:hAnsi="宋体" w:cs="宋体"/>
                <w:bCs/>
                <w:szCs w:val="21"/>
                <w:highlight w:val="none"/>
              </w:rPr>
            </w:pPr>
            <w:r>
              <w:rPr>
                <w:rFonts w:hint="eastAsia" w:ascii="宋体" w:hAnsi="宋体" w:cs="宋体"/>
                <w:bCs/>
                <w:szCs w:val="21"/>
                <w:highlight w:val="none"/>
              </w:rPr>
              <w:t>山特、艾默生Emerson、APC、华为</w:t>
            </w:r>
          </w:p>
        </w:tc>
        <w:tc>
          <w:tcPr>
            <w:tcW w:w="1544" w:type="dxa"/>
            <w:tcBorders>
              <w:top w:val="single" w:color="auto" w:sz="4" w:space="0"/>
              <w:left w:val="single" w:color="auto" w:sz="4" w:space="0"/>
              <w:bottom w:val="single" w:color="auto" w:sz="4" w:space="0"/>
              <w:right w:val="single" w:color="auto" w:sz="4" w:space="0"/>
            </w:tcBorders>
            <w:vAlign w:val="center"/>
          </w:tcPr>
          <w:p w14:paraId="370B55DB">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28EB90BF">
            <w:pPr>
              <w:pStyle w:val="66"/>
              <w:spacing w:line="320" w:lineRule="exact"/>
              <w:rPr>
                <w:rFonts w:ascii="宋体" w:hAnsi="宋体" w:cs="宋体"/>
                <w:bCs/>
                <w:szCs w:val="21"/>
                <w:highlight w:val="none"/>
              </w:rPr>
            </w:pPr>
          </w:p>
        </w:tc>
      </w:tr>
      <w:tr w14:paraId="0ADB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4CC60B1">
            <w:pPr>
              <w:pStyle w:val="66"/>
              <w:jc w:val="center"/>
              <w:rPr>
                <w:rFonts w:ascii="宋体" w:hAnsi="宋体" w:cs="宋体"/>
                <w:szCs w:val="21"/>
                <w:highlight w:val="none"/>
              </w:rPr>
            </w:pPr>
            <w:r>
              <w:rPr>
                <w:rFonts w:hint="eastAsia" w:ascii="宋体" w:hAnsi="宋体" w:cs="宋体"/>
                <w:szCs w:val="21"/>
                <w:highlight w:val="none"/>
              </w:rPr>
              <w:t>5</w:t>
            </w:r>
          </w:p>
        </w:tc>
        <w:tc>
          <w:tcPr>
            <w:tcW w:w="2549" w:type="dxa"/>
            <w:tcBorders>
              <w:top w:val="single" w:color="auto" w:sz="4" w:space="0"/>
              <w:left w:val="single" w:color="auto" w:sz="4" w:space="0"/>
              <w:bottom w:val="single" w:color="auto" w:sz="4" w:space="0"/>
              <w:right w:val="single" w:color="auto" w:sz="4" w:space="0"/>
            </w:tcBorders>
            <w:vAlign w:val="center"/>
          </w:tcPr>
          <w:p w14:paraId="2E8064B0">
            <w:pPr>
              <w:pStyle w:val="66"/>
              <w:spacing w:line="320" w:lineRule="exact"/>
              <w:jc w:val="center"/>
              <w:rPr>
                <w:rFonts w:ascii="宋体" w:hAnsi="宋体" w:cs="宋体"/>
                <w:bCs/>
                <w:szCs w:val="21"/>
                <w:highlight w:val="none"/>
              </w:rPr>
            </w:pPr>
            <w:r>
              <w:rPr>
                <w:rFonts w:hint="eastAsia" w:ascii="宋体" w:hAnsi="宋体" w:cs="宋体"/>
                <w:bCs/>
                <w:szCs w:val="21"/>
                <w:highlight w:val="none"/>
              </w:rPr>
              <w:t>水泵</w:t>
            </w:r>
          </w:p>
        </w:tc>
        <w:tc>
          <w:tcPr>
            <w:tcW w:w="3825" w:type="dxa"/>
            <w:tcBorders>
              <w:top w:val="single" w:color="auto" w:sz="4" w:space="0"/>
              <w:left w:val="single" w:color="auto" w:sz="4" w:space="0"/>
              <w:bottom w:val="single" w:color="auto" w:sz="4" w:space="0"/>
              <w:right w:val="single" w:color="auto" w:sz="4" w:space="0"/>
            </w:tcBorders>
            <w:vAlign w:val="center"/>
          </w:tcPr>
          <w:p w14:paraId="11BD5274">
            <w:pPr>
              <w:pStyle w:val="66"/>
              <w:spacing w:line="320" w:lineRule="exact"/>
              <w:jc w:val="center"/>
              <w:rPr>
                <w:rFonts w:ascii="宋体" w:hAnsi="宋体" w:cs="宋体"/>
                <w:bCs/>
                <w:szCs w:val="21"/>
                <w:highlight w:val="none"/>
              </w:rPr>
            </w:pPr>
            <w:r>
              <w:rPr>
                <w:rFonts w:hint="eastAsia" w:ascii="宋体" w:hAnsi="宋体" w:cs="宋体"/>
                <w:kern w:val="0"/>
                <w:szCs w:val="21"/>
                <w:highlight w:val="none"/>
              </w:rPr>
              <w:t>丹麦格兰富、美国赛莱默（除K系列）、德国凯士比的不锈钢立式管道离心泵（含配套电机）</w:t>
            </w:r>
          </w:p>
        </w:tc>
        <w:tc>
          <w:tcPr>
            <w:tcW w:w="1544" w:type="dxa"/>
            <w:tcBorders>
              <w:top w:val="single" w:color="auto" w:sz="4" w:space="0"/>
              <w:left w:val="single" w:color="auto" w:sz="4" w:space="0"/>
              <w:bottom w:val="single" w:color="auto" w:sz="4" w:space="0"/>
              <w:right w:val="single" w:color="auto" w:sz="4" w:space="0"/>
            </w:tcBorders>
            <w:vAlign w:val="center"/>
          </w:tcPr>
          <w:p w14:paraId="45D0DF68">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22BF78EA">
            <w:pPr>
              <w:pStyle w:val="66"/>
              <w:spacing w:line="320" w:lineRule="exact"/>
              <w:rPr>
                <w:rFonts w:ascii="宋体" w:hAnsi="宋体" w:cs="宋体"/>
                <w:bCs/>
                <w:szCs w:val="21"/>
                <w:highlight w:val="none"/>
              </w:rPr>
            </w:pPr>
          </w:p>
        </w:tc>
      </w:tr>
      <w:tr w14:paraId="131C0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0B4A162">
            <w:pPr>
              <w:pStyle w:val="66"/>
              <w:jc w:val="center"/>
              <w:rPr>
                <w:rFonts w:ascii="宋体" w:hAnsi="宋体" w:cs="宋体"/>
                <w:szCs w:val="21"/>
                <w:highlight w:val="none"/>
              </w:rPr>
            </w:pPr>
            <w:r>
              <w:rPr>
                <w:rFonts w:hint="eastAsia" w:ascii="宋体" w:hAnsi="宋体" w:cs="宋体"/>
                <w:szCs w:val="21"/>
                <w:highlight w:val="none"/>
              </w:rPr>
              <w:t>6</w:t>
            </w:r>
          </w:p>
        </w:tc>
        <w:tc>
          <w:tcPr>
            <w:tcW w:w="2549" w:type="dxa"/>
            <w:tcBorders>
              <w:top w:val="single" w:color="auto" w:sz="4" w:space="0"/>
              <w:left w:val="single" w:color="auto" w:sz="4" w:space="0"/>
              <w:bottom w:val="single" w:color="auto" w:sz="4" w:space="0"/>
              <w:right w:val="single" w:color="auto" w:sz="4" w:space="0"/>
            </w:tcBorders>
            <w:vAlign w:val="center"/>
          </w:tcPr>
          <w:p w14:paraId="521B389A">
            <w:pPr>
              <w:pStyle w:val="66"/>
              <w:spacing w:line="320" w:lineRule="exact"/>
              <w:jc w:val="center"/>
              <w:rPr>
                <w:rFonts w:ascii="宋体" w:hAnsi="宋体" w:cs="宋体"/>
                <w:bCs/>
                <w:szCs w:val="21"/>
                <w:highlight w:val="none"/>
              </w:rPr>
            </w:pPr>
            <w:r>
              <w:rPr>
                <w:rFonts w:hint="eastAsia" w:ascii="宋体" w:hAnsi="宋体" w:cs="宋体"/>
                <w:bCs/>
                <w:szCs w:val="21"/>
                <w:highlight w:val="none"/>
              </w:rPr>
              <w:t>变频器</w:t>
            </w:r>
          </w:p>
        </w:tc>
        <w:tc>
          <w:tcPr>
            <w:tcW w:w="3825" w:type="dxa"/>
            <w:tcBorders>
              <w:top w:val="single" w:color="auto" w:sz="4" w:space="0"/>
              <w:left w:val="single" w:color="auto" w:sz="4" w:space="0"/>
              <w:bottom w:val="single" w:color="auto" w:sz="4" w:space="0"/>
              <w:right w:val="single" w:color="auto" w:sz="4" w:space="0"/>
            </w:tcBorders>
            <w:vAlign w:val="center"/>
          </w:tcPr>
          <w:p w14:paraId="5FD83056">
            <w:pPr>
              <w:pStyle w:val="66"/>
              <w:spacing w:line="320" w:lineRule="exact"/>
              <w:jc w:val="center"/>
              <w:rPr>
                <w:rFonts w:ascii="宋体" w:hAnsi="宋体" w:cs="宋体"/>
                <w:bCs/>
                <w:szCs w:val="21"/>
                <w:highlight w:val="none"/>
              </w:rPr>
            </w:pPr>
            <w:r>
              <w:rPr>
                <w:rFonts w:hint="eastAsia" w:ascii="宋体" w:hAnsi="宋体" w:cs="宋体"/>
                <w:bCs/>
                <w:szCs w:val="21"/>
                <w:highlight w:val="none"/>
              </w:rPr>
              <w:t xml:space="preserve">施耐德、西门子、ABB </w:t>
            </w:r>
          </w:p>
        </w:tc>
        <w:tc>
          <w:tcPr>
            <w:tcW w:w="1544" w:type="dxa"/>
            <w:tcBorders>
              <w:top w:val="single" w:color="auto" w:sz="4" w:space="0"/>
              <w:left w:val="single" w:color="auto" w:sz="4" w:space="0"/>
              <w:bottom w:val="single" w:color="auto" w:sz="4" w:space="0"/>
              <w:right w:val="single" w:color="auto" w:sz="4" w:space="0"/>
            </w:tcBorders>
            <w:vAlign w:val="center"/>
          </w:tcPr>
          <w:p w14:paraId="1719C61E">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1921BBBA">
            <w:pPr>
              <w:pStyle w:val="66"/>
              <w:spacing w:line="320" w:lineRule="exact"/>
              <w:rPr>
                <w:rFonts w:ascii="宋体" w:hAnsi="宋体" w:cs="宋体"/>
                <w:bCs/>
                <w:szCs w:val="21"/>
                <w:highlight w:val="none"/>
              </w:rPr>
            </w:pPr>
          </w:p>
        </w:tc>
      </w:tr>
      <w:tr w14:paraId="091A4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58EDD1FB">
            <w:pPr>
              <w:pStyle w:val="66"/>
              <w:jc w:val="center"/>
              <w:rPr>
                <w:rFonts w:ascii="宋体" w:hAnsi="宋体" w:cs="宋体"/>
                <w:szCs w:val="21"/>
                <w:highlight w:val="none"/>
              </w:rPr>
            </w:pPr>
            <w:r>
              <w:rPr>
                <w:rFonts w:hint="eastAsia" w:ascii="宋体" w:hAnsi="宋体" w:cs="宋体"/>
                <w:szCs w:val="21"/>
                <w:highlight w:val="none"/>
              </w:rPr>
              <w:t>7</w:t>
            </w:r>
          </w:p>
        </w:tc>
        <w:tc>
          <w:tcPr>
            <w:tcW w:w="2549" w:type="dxa"/>
            <w:tcBorders>
              <w:top w:val="single" w:color="auto" w:sz="4" w:space="0"/>
              <w:left w:val="single" w:color="auto" w:sz="4" w:space="0"/>
              <w:bottom w:val="single" w:color="auto" w:sz="4" w:space="0"/>
              <w:right w:val="single" w:color="auto" w:sz="4" w:space="0"/>
            </w:tcBorders>
            <w:vAlign w:val="center"/>
          </w:tcPr>
          <w:p w14:paraId="4DC23C15">
            <w:pPr>
              <w:pStyle w:val="66"/>
              <w:spacing w:line="320" w:lineRule="exact"/>
              <w:jc w:val="center"/>
              <w:rPr>
                <w:rFonts w:ascii="宋体" w:hAnsi="宋体" w:cs="宋体"/>
                <w:bCs/>
                <w:szCs w:val="21"/>
                <w:highlight w:val="none"/>
              </w:rPr>
            </w:pPr>
            <w:r>
              <w:rPr>
                <w:rFonts w:hint="eastAsia" w:ascii="宋体" w:hAnsi="宋体" w:cs="宋体"/>
                <w:kern w:val="0"/>
                <w:szCs w:val="21"/>
                <w:highlight w:val="none"/>
              </w:rPr>
              <w:t>阀门类（包括倒流防止器、Y型过滤器等）</w:t>
            </w:r>
          </w:p>
        </w:tc>
        <w:tc>
          <w:tcPr>
            <w:tcW w:w="3825" w:type="dxa"/>
            <w:tcBorders>
              <w:top w:val="single" w:color="auto" w:sz="4" w:space="0"/>
              <w:left w:val="single" w:color="auto" w:sz="4" w:space="0"/>
              <w:bottom w:val="single" w:color="auto" w:sz="4" w:space="0"/>
              <w:right w:val="single" w:color="auto" w:sz="4" w:space="0"/>
            </w:tcBorders>
            <w:vAlign w:val="center"/>
          </w:tcPr>
          <w:p w14:paraId="10197451">
            <w:pPr>
              <w:pStyle w:val="66"/>
              <w:spacing w:line="320" w:lineRule="exact"/>
              <w:jc w:val="center"/>
              <w:rPr>
                <w:rFonts w:ascii="宋体" w:hAnsi="宋体" w:cs="宋体"/>
                <w:bCs/>
                <w:szCs w:val="21"/>
                <w:highlight w:val="none"/>
              </w:rPr>
            </w:pPr>
            <w:r>
              <w:rPr>
                <w:rFonts w:hint="eastAsia" w:ascii="宋体" w:hAnsi="宋体" w:cs="宋体"/>
                <w:bCs/>
                <w:szCs w:val="21"/>
                <w:highlight w:val="none"/>
              </w:rPr>
              <w:t>AVK、VAG、上海冠龙</w:t>
            </w:r>
          </w:p>
        </w:tc>
        <w:tc>
          <w:tcPr>
            <w:tcW w:w="1544" w:type="dxa"/>
            <w:tcBorders>
              <w:top w:val="single" w:color="auto" w:sz="4" w:space="0"/>
              <w:left w:val="single" w:color="auto" w:sz="4" w:space="0"/>
              <w:bottom w:val="single" w:color="auto" w:sz="4" w:space="0"/>
              <w:right w:val="single" w:color="auto" w:sz="4" w:space="0"/>
            </w:tcBorders>
            <w:vAlign w:val="center"/>
          </w:tcPr>
          <w:p w14:paraId="69690329">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46685383">
            <w:pPr>
              <w:pStyle w:val="66"/>
              <w:spacing w:line="320" w:lineRule="exact"/>
              <w:rPr>
                <w:rFonts w:ascii="宋体" w:hAnsi="宋体" w:cs="宋体"/>
                <w:bCs/>
                <w:szCs w:val="21"/>
                <w:highlight w:val="none"/>
              </w:rPr>
            </w:pPr>
          </w:p>
        </w:tc>
      </w:tr>
      <w:tr w14:paraId="21210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F4F0C18">
            <w:pPr>
              <w:pStyle w:val="66"/>
              <w:spacing w:line="320" w:lineRule="exact"/>
              <w:jc w:val="center"/>
              <w:rPr>
                <w:rFonts w:ascii="宋体" w:hAnsi="宋体" w:cs="宋体"/>
                <w:bCs/>
                <w:szCs w:val="21"/>
                <w:highlight w:val="none"/>
              </w:rPr>
            </w:pPr>
            <w:r>
              <w:rPr>
                <w:rFonts w:hint="eastAsia" w:ascii="宋体" w:hAnsi="宋体" w:cs="宋体"/>
                <w:bCs/>
                <w:szCs w:val="21"/>
                <w:highlight w:val="none"/>
              </w:rPr>
              <w:t>8</w:t>
            </w:r>
          </w:p>
        </w:tc>
        <w:tc>
          <w:tcPr>
            <w:tcW w:w="2549" w:type="dxa"/>
            <w:tcBorders>
              <w:top w:val="single" w:color="auto" w:sz="4" w:space="0"/>
              <w:left w:val="single" w:color="auto" w:sz="4" w:space="0"/>
              <w:bottom w:val="single" w:color="auto" w:sz="4" w:space="0"/>
              <w:right w:val="single" w:color="auto" w:sz="4" w:space="0"/>
            </w:tcBorders>
            <w:vAlign w:val="center"/>
          </w:tcPr>
          <w:p w14:paraId="39454D6B">
            <w:pPr>
              <w:pStyle w:val="66"/>
              <w:spacing w:line="320" w:lineRule="exact"/>
              <w:jc w:val="center"/>
              <w:rPr>
                <w:rFonts w:ascii="宋体" w:hAnsi="宋体" w:cs="宋体"/>
                <w:bCs/>
                <w:szCs w:val="21"/>
                <w:highlight w:val="none"/>
              </w:rPr>
            </w:pPr>
            <w:r>
              <w:rPr>
                <w:rFonts w:hint="eastAsia" w:ascii="宋体" w:hAnsi="宋体" w:cs="宋体"/>
                <w:bCs/>
                <w:szCs w:val="21"/>
                <w:highlight w:val="none"/>
              </w:rPr>
              <w:t>电磁流量计</w:t>
            </w:r>
          </w:p>
        </w:tc>
        <w:tc>
          <w:tcPr>
            <w:tcW w:w="3825" w:type="dxa"/>
            <w:tcBorders>
              <w:top w:val="single" w:color="auto" w:sz="4" w:space="0"/>
              <w:left w:val="single" w:color="auto" w:sz="4" w:space="0"/>
              <w:bottom w:val="single" w:color="auto" w:sz="4" w:space="0"/>
              <w:right w:val="single" w:color="auto" w:sz="4" w:space="0"/>
            </w:tcBorders>
            <w:vAlign w:val="center"/>
          </w:tcPr>
          <w:p w14:paraId="1CD227F9">
            <w:pPr>
              <w:pStyle w:val="66"/>
              <w:spacing w:line="320" w:lineRule="exact"/>
              <w:jc w:val="center"/>
              <w:rPr>
                <w:rFonts w:ascii="宋体" w:hAnsi="宋体" w:cs="宋体"/>
                <w:bCs/>
                <w:szCs w:val="21"/>
                <w:highlight w:val="none"/>
              </w:rPr>
            </w:pPr>
            <w:r>
              <w:rPr>
                <w:rFonts w:hint="eastAsia" w:ascii="宋体" w:hAnsi="宋体" w:cs="宋体"/>
                <w:kern w:val="0"/>
                <w:szCs w:val="21"/>
                <w:highlight w:val="none"/>
              </w:rPr>
              <w:t>西门子</w:t>
            </w:r>
            <w:r>
              <w:rPr>
                <w:rFonts w:hint="eastAsia" w:ascii="宋体" w:hAnsi="宋体" w:cs="宋体"/>
                <w:bCs/>
                <w:szCs w:val="21"/>
                <w:highlight w:val="none"/>
              </w:rPr>
              <w:t>、E+H、科隆</w:t>
            </w:r>
          </w:p>
        </w:tc>
        <w:tc>
          <w:tcPr>
            <w:tcW w:w="1544" w:type="dxa"/>
            <w:tcBorders>
              <w:top w:val="single" w:color="auto" w:sz="4" w:space="0"/>
              <w:left w:val="single" w:color="auto" w:sz="4" w:space="0"/>
              <w:bottom w:val="single" w:color="auto" w:sz="4" w:space="0"/>
              <w:right w:val="single" w:color="auto" w:sz="4" w:space="0"/>
            </w:tcBorders>
            <w:vAlign w:val="center"/>
          </w:tcPr>
          <w:p w14:paraId="20FB223B">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29CAE79B">
            <w:pPr>
              <w:pStyle w:val="66"/>
              <w:spacing w:line="320" w:lineRule="exact"/>
              <w:rPr>
                <w:rFonts w:ascii="宋体" w:hAnsi="宋体" w:cs="宋体"/>
                <w:bCs/>
                <w:szCs w:val="21"/>
                <w:highlight w:val="none"/>
              </w:rPr>
            </w:pPr>
          </w:p>
        </w:tc>
      </w:tr>
      <w:tr w14:paraId="0EA14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25B5255">
            <w:pPr>
              <w:pStyle w:val="66"/>
              <w:spacing w:line="320" w:lineRule="exact"/>
              <w:jc w:val="center"/>
              <w:rPr>
                <w:rFonts w:ascii="宋体" w:hAnsi="宋体" w:cs="宋体"/>
                <w:bCs/>
                <w:szCs w:val="21"/>
                <w:highlight w:val="none"/>
              </w:rPr>
            </w:pPr>
            <w:r>
              <w:rPr>
                <w:rFonts w:hint="eastAsia" w:ascii="宋体" w:hAnsi="宋体" w:cs="宋体"/>
                <w:bCs/>
                <w:szCs w:val="21"/>
                <w:highlight w:val="none"/>
              </w:rPr>
              <w:t>9</w:t>
            </w:r>
          </w:p>
        </w:tc>
        <w:tc>
          <w:tcPr>
            <w:tcW w:w="2549" w:type="dxa"/>
            <w:tcBorders>
              <w:top w:val="single" w:color="auto" w:sz="4" w:space="0"/>
              <w:left w:val="single" w:color="auto" w:sz="4" w:space="0"/>
              <w:bottom w:val="single" w:color="auto" w:sz="4" w:space="0"/>
              <w:right w:val="single" w:color="auto" w:sz="4" w:space="0"/>
            </w:tcBorders>
            <w:vAlign w:val="center"/>
          </w:tcPr>
          <w:p w14:paraId="2242AE20">
            <w:pPr>
              <w:pStyle w:val="66"/>
              <w:spacing w:line="320" w:lineRule="exact"/>
              <w:jc w:val="center"/>
              <w:rPr>
                <w:rFonts w:ascii="宋体" w:hAnsi="宋体" w:cs="宋体"/>
                <w:bCs/>
                <w:szCs w:val="21"/>
                <w:highlight w:val="none"/>
              </w:rPr>
            </w:pPr>
            <w:r>
              <w:rPr>
                <w:rFonts w:hint="eastAsia" w:ascii="宋体" w:hAnsi="宋体" w:cs="宋体"/>
                <w:bCs/>
                <w:szCs w:val="21"/>
                <w:highlight w:val="none"/>
              </w:rPr>
              <w:t>电动执行机构</w:t>
            </w:r>
          </w:p>
        </w:tc>
        <w:tc>
          <w:tcPr>
            <w:tcW w:w="3825" w:type="dxa"/>
            <w:tcBorders>
              <w:top w:val="single" w:color="auto" w:sz="4" w:space="0"/>
              <w:left w:val="single" w:color="auto" w:sz="4" w:space="0"/>
              <w:bottom w:val="single" w:color="auto" w:sz="4" w:space="0"/>
              <w:right w:val="single" w:color="auto" w:sz="4" w:space="0"/>
            </w:tcBorders>
            <w:vAlign w:val="center"/>
          </w:tcPr>
          <w:p w14:paraId="6158946E">
            <w:pPr>
              <w:pStyle w:val="66"/>
              <w:spacing w:line="320" w:lineRule="exact"/>
              <w:jc w:val="center"/>
              <w:rPr>
                <w:rFonts w:ascii="宋体" w:hAnsi="宋体" w:cs="宋体"/>
                <w:bCs/>
                <w:szCs w:val="21"/>
                <w:highlight w:val="none"/>
              </w:rPr>
            </w:pPr>
            <w:r>
              <w:rPr>
                <w:rFonts w:hint="eastAsia" w:ascii="宋体" w:hAnsi="宋体" w:cs="宋体"/>
                <w:bCs/>
                <w:szCs w:val="21"/>
                <w:highlight w:val="none"/>
              </w:rPr>
              <w:t>常州电站辅机（SND智能开关型）、天津天二通（IMC智能开关型）、Auma、Rotork、Centork</w:t>
            </w:r>
          </w:p>
        </w:tc>
        <w:tc>
          <w:tcPr>
            <w:tcW w:w="1544" w:type="dxa"/>
            <w:tcBorders>
              <w:top w:val="single" w:color="auto" w:sz="4" w:space="0"/>
              <w:left w:val="single" w:color="auto" w:sz="4" w:space="0"/>
              <w:bottom w:val="single" w:color="auto" w:sz="4" w:space="0"/>
              <w:right w:val="single" w:color="auto" w:sz="4" w:space="0"/>
            </w:tcBorders>
            <w:vAlign w:val="center"/>
          </w:tcPr>
          <w:p w14:paraId="51AC3C3C">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0F34862B">
            <w:pPr>
              <w:pStyle w:val="66"/>
              <w:spacing w:line="320" w:lineRule="exact"/>
              <w:rPr>
                <w:rFonts w:ascii="宋体" w:hAnsi="宋体" w:cs="宋体"/>
                <w:bCs/>
                <w:szCs w:val="21"/>
                <w:highlight w:val="none"/>
              </w:rPr>
            </w:pPr>
          </w:p>
        </w:tc>
      </w:tr>
      <w:tr w14:paraId="6F54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31C869A">
            <w:pPr>
              <w:pStyle w:val="66"/>
              <w:spacing w:line="320" w:lineRule="exact"/>
              <w:jc w:val="center"/>
              <w:rPr>
                <w:rFonts w:ascii="宋体" w:hAnsi="宋体" w:cs="宋体"/>
                <w:bCs/>
                <w:szCs w:val="21"/>
                <w:highlight w:val="none"/>
              </w:rPr>
            </w:pPr>
            <w:r>
              <w:rPr>
                <w:rFonts w:hint="eastAsia" w:ascii="宋体" w:hAnsi="宋体" w:cs="宋体"/>
                <w:bCs/>
                <w:szCs w:val="21"/>
                <w:highlight w:val="none"/>
              </w:rPr>
              <w:t>10</w:t>
            </w:r>
          </w:p>
        </w:tc>
        <w:tc>
          <w:tcPr>
            <w:tcW w:w="2549" w:type="dxa"/>
            <w:tcBorders>
              <w:top w:val="single" w:color="auto" w:sz="4" w:space="0"/>
              <w:left w:val="single" w:color="auto" w:sz="4" w:space="0"/>
              <w:bottom w:val="single" w:color="auto" w:sz="4" w:space="0"/>
              <w:right w:val="single" w:color="auto" w:sz="4" w:space="0"/>
            </w:tcBorders>
            <w:vAlign w:val="center"/>
          </w:tcPr>
          <w:p w14:paraId="1F10C479">
            <w:pPr>
              <w:jc w:val="center"/>
              <w:rPr>
                <w:rFonts w:ascii="宋体" w:hAnsi="宋体" w:eastAsia="宋体" w:cs="宋体"/>
                <w:bCs/>
                <w:szCs w:val="21"/>
                <w:highlight w:val="none"/>
              </w:rPr>
            </w:pPr>
            <w:r>
              <w:rPr>
                <w:rFonts w:hint="eastAsia" w:ascii="宋体" w:hAnsi="宋体" w:eastAsia="宋体" w:cs="宋体"/>
                <w:szCs w:val="21"/>
                <w:highlight w:val="none"/>
              </w:rPr>
              <w:t>PLC</w:t>
            </w:r>
          </w:p>
        </w:tc>
        <w:tc>
          <w:tcPr>
            <w:tcW w:w="3825" w:type="dxa"/>
            <w:tcBorders>
              <w:top w:val="single" w:color="auto" w:sz="4" w:space="0"/>
              <w:left w:val="single" w:color="auto" w:sz="4" w:space="0"/>
              <w:bottom w:val="single" w:color="auto" w:sz="4" w:space="0"/>
              <w:right w:val="single" w:color="auto" w:sz="4" w:space="0"/>
            </w:tcBorders>
            <w:vAlign w:val="center"/>
          </w:tcPr>
          <w:p w14:paraId="6695E36B">
            <w:pPr>
              <w:jc w:val="center"/>
              <w:rPr>
                <w:rFonts w:ascii="宋体" w:hAnsi="宋体" w:eastAsia="宋体" w:cs="宋体"/>
                <w:szCs w:val="21"/>
                <w:highlight w:val="none"/>
              </w:rPr>
            </w:pPr>
            <w:r>
              <w:rPr>
                <w:rFonts w:hint="eastAsia" w:ascii="宋体" w:hAnsi="宋体" w:eastAsia="宋体" w:cs="宋体"/>
                <w:szCs w:val="21"/>
                <w:highlight w:val="none"/>
              </w:rPr>
              <w:t>西门子S7-200及以上、施耐德M340系列、罗克韦尔系列</w:t>
            </w:r>
          </w:p>
        </w:tc>
        <w:tc>
          <w:tcPr>
            <w:tcW w:w="1544" w:type="dxa"/>
            <w:tcBorders>
              <w:top w:val="single" w:color="auto" w:sz="4" w:space="0"/>
              <w:left w:val="single" w:color="auto" w:sz="4" w:space="0"/>
              <w:bottom w:val="single" w:color="auto" w:sz="4" w:space="0"/>
              <w:right w:val="single" w:color="auto" w:sz="4" w:space="0"/>
            </w:tcBorders>
            <w:vAlign w:val="center"/>
          </w:tcPr>
          <w:p w14:paraId="06CC27B0">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319530C7">
            <w:pPr>
              <w:pStyle w:val="66"/>
              <w:spacing w:line="320" w:lineRule="exact"/>
              <w:rPr>
                <w:rFonts w:ascii="宋体" w:hAnsi="宋体" w:cs="宋体"/>
                <w:bCs/>
                <w:szCs w:val="21"/>
                <w:highlight w:val="none"/>
              </w:rPr>
            </w:pPr>
          </w:p>
        </w:tc>
      </w:tr>
      <w:tr w14:paraId="5643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26DBAD67">
            <w:pPr>
              <w:pStyle w:val="66"/>
              <w:spacing w:line="320" w:lineRule="exact"/>
              <w:jc w:val="center"/>
              <w:rPr>
                <w:rFonts w:ascii="宋体" w:hAnsi="宋体" w:cs="宋体"/>
                <w:bCs/>
                <w:szCs w:val="21"/>
                <w:highlight w:val="none"/>
              </w:rPr>
            </w:pPr>
            <w:r>
              <w:rPr>
                <w:rFonts w:hint="eastAsia" w:ascii="宋体" w:hAnsi="宋体" w:cs="宋体"/>
                <w:bCs/>
                <w:szCs w:val="21"/>
                <w:highlight w:val="none"/>
              </w:rPr>
              <w:t>11</w:t>
            </w:r>
          </w:p>
        </w:tc>
        <w:tc>
          <w:tcPr>
            <w:tcW w:w="2549" w:type="dxa"/>
            <w:tcBorders>
              <w:top w:val="single" w:color="auto" w:sz="4" w:space="0"/>
              <w:left w:val="single" w:color="auto" w:sz="4" w:space="0"/>
              <w:bottom w:val="single" w:color="auto" w:sz="4" w:space="0"/>
              <w:right w:val="single" w:color="auto" w:sz="4" w:space="0"/>
            </w:tcBorders>
            <w:vAlign w:val="center"/>
          </w:tcPr>
          <w:p w14:paraId="28A3F63D">
            <w:pPr>
              <w:jc w:val="center"/>
              <w:rPr>
                <w:rFonts w:ascii="宋体" w:hAnsi="宋体" w:eastAsia="宋体" w:cs="宋体"/>
                <w:szCs w:val="21"/>
                <w:highlight w:val="none"/>
              </w:rPr>
            </w:pPr>
            <w:r>
              <w:rPr>
                <w:rFonts w:ascii="宋体"/>
                <w:kern w:val="0"/>
                <w:sz w:val="24"/>
                <w:highlight w:val="none"/>
                <w:u w:color="000000"/>
              </w:rPr>
              <w:t>触摸屏</w:t>
            </w:r>
          </w:p>
        </w:tc>
        <w:tc>
          <w:tcPr>
            <w:tcW w:w="3825" w:type="dxa"/>
            <w:tcBorders>
              <w:top w:val="single" w:color="auto" w:sz="4" w:space="0"/>
              <w:left w:val="single" w:color="auto" w:sz="4" w:space="0"/>
              <w:bottom w:val="single" w:color="auto" w:sz="4" w:space="0"/>
              <w:right w:val="single" w:color="auto" w:sz="4" w:space="0"/>
            </w:tcBorders>
            <w:vAlign w:val="center"/>
          </w:tcPr>
          <w:p w14:paraId="2279053F">
            <w:pPr>
              <w:jc w:val="center"/>
              <w:rPr>
                <w:rFonts w:ascii="宋体" w:hAnsi="宋体" w:eastAsia="宋体" w:cs="宋体"/>
                <w:szCs w:val="21"/>
                <w:highlight w:val="none"/>
              </w:rPr>
            </w:pPr>
            <w:r>
              <w:rPr>
                <w:rFonts w:ascii="宋体"/>
                <w:kern w:val="0"/>
                <w:sz w:val="24"/>
                <w:highlight w:val="none"/>
                <w:u w:color="000000"/>
              </w:rPr>
              <w:t>西门子、</w:t>
            </w:r>
            <w:r>
              <w:rPr>
                <w:rFonts w:hint="eastAsia" w:ascii="宋体"/>
                <w:kern w:val="0"/>
                <w:sz w:val="24"/>
                <w:highlight w:val="none"/>
                <w:u w:color="000000"/>
                <w:lang w:eastAsia="zh-CN"/>
              </w:rPr>
              <w:t>威纶通</w:t>
            </w:r>
            <w:r>
              <w:rPr>
                <w:rFonts w:ascii="宋体"/>
                <w:kern w:val="0"/>
                <w:sz w:val="24"/>
                <w:highlight w:val="none"/>
                <w:u w:color="000000"/>
              </w:rPr>
              <w:t>、昆仑通态、施耐德品牌</w:t>
            </w:r>
          </w:p>
        </w:tc>
        <w:tc>
          <w:tcPr>
            <w:tcW w:w="1544" w:type="dxa"/>
            <w:tcBorders>
              <w:top w:val="single" w:color="auto" w:sz="4" w:space="0"/>
              <w:left w:val="single" w:color="auto" w:sz="4" w:space="0"/>
              <w:bottom w:val="single" w:color="auto" w:sz="4" w:space="0"/>
              <w:right w:val="single" w:color="auto" w:sz="4" w:space="0"/>
            </w:tcBorders>
            <w:vAlign w:val="center"/>
          </w:tcPr>
          <w:p w14:paraId="023CAA25">
            <w:pPr>
              <w:pStyle w:val="66"/>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14:paraId="74C9A045">
            <w:pPr>
              <w:pStyle w:val="66"/>
              <w:spacing w:line="320" w:lineRule="exact"/>
              <w:rPr>
                <w:rFonts w:ascii="宋体" w:hAnsi="宋体" w:cs="宋体"/>
                <w:bCs/>
                <w:szCs w:val="21"/>
                <w:highlight w:val="none"/>
              </w:rPr>
            </w:pPr>
          </w:p>
        </w:tc>
      </w:tr>
    </w:tbl>
    <w:p w14:paraId="2CD77AC2">
      <w:pPr>
        <w:rPr>
          <w:rFonts w:ascii="宋体" w:hAnsi="宋体" w:eastAsia="宋体" w:cs="Times New Roman"/>
          <w:color w:val="000000"/>
          <w:szCs w:val="21"/>
          <w:highlight w:val="none"/>
        </w:rPr>
      </w:pPr>
      <w:r>
        <w:rPr>
          <w:rFonts w:hint="eastAsia" w:ascii="宋体" w:hAnsi="宋体" w:eastAsia="宋体" w:cs="Times New Roman"/>
          <w:color w:val="000000"/>
          <w:szCs w:val="21"/>
          <w:highlight w:val="none"/>
        </w:rPr>
        <w:t>注：</w:t>
      </w:r>
      <w:bookmarkStart w:id="81" w:name="_Toc448822646"/>
      <w:bookmarkStart w:id="82" w:name="_Toc448681959"/>
      <w:r>
        <w:rPr>
          <w:rFonts w:hint="eastAsia" w:ascii="宋体" w:hAnsi="宋体" w:eastAsia="宋体" w:cs="Times New Roman"/>
          <w:color w:val="000000"/>
          <w:szCs w:val="21"/>
          <w:highlight w:val="none"/>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w:t>
      </w:r>
      <w:r>
        <w:rPr>
          <w:rFonts w:hint="eastAsia" w:hAnsi="宋体" w:eastAsia="宋体"/>
          <w:bCs/>
          <w:szCs w:val="21"/>
          <w:highlight w:val="none"/>
          <w:lang w:eastAsia="zh-CN"/>
        </w:rPr>
        <w:t>2025年</w:t>
      </w:r>
      <w:r>
        <w:rPr>
          <w:rFonts w:hint="eastAsia" w:hAnsi="宋体"/>
          <w:bCs/>
          <w:szCs w:val="21"/>
          <w:highlight w:val="yellow"/>
          <w:lang w:val="en-US" w:eastAsia="zh-CN"/>
        </w:rPr>
        <w:t>9</w:t>
      </w:r>
      <w:r>
        <w:rPr>
          <w:rFonts w:hAnsi="宋体"/>
          <w:bCs/>
          <w:szCs w:val="21"/>
          <w:highlight w:val="yellow"/>
        </w:rPr>
        <w:t>月</w:t>
      </w:r>
      <w:r>
        <w:rPr>
          <w:rFonts w:hint="eastAsia" w:hAnsi="宋体"/>
          <w:bCs/>
          <w:szCs w:val="21"/>
          <w:highlight w:val="yellow"/>
          <w:lang w:val="en-US" w:eastAsia="zh-CN"/>
        </w:rPr>
        <w:t>25</w:t>
      </w:r>
      <w:r>
        <w:rPr>
          <w:rFonts w:hAnsi="宋体"/>
          <w:bCs/>
          <w:szCs w:val="21"/>
          <w:highlight w:val="yellow"/>
        </w:rPr>
        <w:t>日</w:t>
      </w:r>
      <w:r>
        <w:rPr>
          <w:rFonts w:hint="eastAsia" w:hAnsi="宋体"/>
          <w:bCs/>
          <w:szCs w:val="21"/>
          <w:highlight w:val="none"/>
        </w:rPr>
        <w:t>下午4:00</w:t>
      </w:r>
      <w:r>
        <w:rPr>
          <w:rFonts w:hAnsi="宋体"/>
          <w:bCs/>
          <w:szCs w:val="21"/>
          <w:highlight w:val="none"/>
        </w:rPr>
        <w:t>前</w:t>
      </w:r>
      <w:r>
        <w:rPr>
          <w:rFonts w:hint="eastAsia" w:ascii="宋体" w:hAnsi="宋体" w:eastAsia="宋体" w:cs="Times New Roman"/>
          <w:color w:val="000000"/>
          <w:szCs w:val="21"/>
          <w:highlight w:val="none"/>
        </w:rPr>
        <w:t>，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81"/>
      <w:bookmarkEnd w:id="82"/>
      <w:r>
        <w:rPr>
          <w:rFonts w:hint="eastAsia" w:ascii="宋体" w:hAnsi="宋体" w:eastAsia="宋体" w:cs="Times New Roman"/>
          <w:color w:val="000000"/>
          <w:szCs w:val="21"/>
          <w:highlight w:val="none"/>
        </w:rPr>
        <w:t>以上材料设备</w:t>
      </w:r>
      <w:r>
        <w:rPr>
          <w:rFonts w:hint="eastAsia"/>
          <w:highlight w:val="none"/>
        </w:rPr>
        <w:t>电动阀（阀门和电动执行机构）、</w:t>
      </w:r>
      <w:r>
        <w:rPr>
          <w:rFonts w:hint="eastAsia" w:ascii="宋体" w:hAnsi="宋体" w:cs="宋体"/>
          <w:kern w:val="0"/>
          <w:szCs w:val="21"/>
          <w:highlight w:val="none"/>
        </w:rPr>
        <w:t>倒流防止器及Y型过滤器每个泵房只需提供一套，其余材料设备</w:t>
      </w:r>
      <w:r>
        <w:rPr>
          <w:rFonts w:hint="eastAsia" w:ascii="宋体" w:hAnsi="宋体" w:eastAsia="宋体" w:cs="Times New Roman"/>
          <w:color w:val="000000"/>
          <w:szCs w:val="21"/>
          <w:highlight w:val="none"/>
        </w:rPr>
        <w:t>每套无负压设备都需要配备。</w:t>
      </w:r>
    </w:p>
    <w:p w14:paraId="6AD2285F">
      <w:pPr>
        <w:rPr>
          <w:rFonts w:ascii="宋体" w:hAnsi="宋体" w:eastAsia="宋体" w:cs="Times New Roman"/>
          <w:color w:val="000000"/>
          <w:szCs w:val="21"/>
          <w:highlight w:val="none"/>
        </w:rPr>
      </w:pPr>
    </w:p>
    <w:p w14:paraId="7A096DDD">
      <w:pPr>
        <w:jc w:val="center"/>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投标人签名（盖章）：                               日期：</w:t>
      </w:r>
    </w:p>
    <w:p w14:paraId="726CC37B">
      <w:pPr>
        <w:jc w:val="center"/>
        <w:rPr>
          <w:rFonts w:ascii="宋体" w:hAnsi="宋体" w:eastAsia="宋体" w:cs="Times New Roman"/>
          <w:sz w:val="24"/>
          <w:szCs w:val="21"/>
          <w:highlight w:val="none"/>
          <w:lang w:val="zh-CN"/>
        </w:rPr>
      </w:pPr>
    </w:p>
    <w:p w14:paraId="3BEC311A">
      <w:pPr>
        <w:tabs>
          <w:tab w:val="left" w:pos="0"/>
        </w:tabs>
        <w:spacing w:line="360" w:lineRule="auto"/>
        <w:rPr>
          <w:rFonts w:hint="eastAsia" w:ascii="宋体" w:hAnsi="宋体"/>
          <w:b/>
          <w:bCs/>
          <w:sz w:val="24"/>
          <w:szCs w:val="24"/>
          <w:highlight w:val="none"/>
        </w:rPr>
      </w:pPr>
    </w:p>
    <w:p w14:paraId="3DF54414">
      <w:pPr>
        <w:tabs>
          <w:tab w:val="left" w:pos="0"/>
        </w:tabs>
        <w:spacing w:line="360" w:lineRule="auto"/>
        <w:rPr>
          <w:rFonts w:hint="eastAsia" w:ascii="宋体" w:hAnsi="宋体"/>
          <w:b/>
          <w:bCs/>
          <w:sz w:val="24"/>
          <w:szCs w:val="24"/>
          <w:highlight w:val="none"/>
        </w:rPr>
      </w:pPr>
    </w:p>
    <w:p w14:paraId="7C413D77">
      <w:pPr>
        <w:tabs>
          <w:tab w:val="left" w:pos="0"/>
          <w:tab w:val="left" w:pos="255"/>
        </w:tabs>
        <w:spacing w:line="360" w:lineRule="auto"/>
        <w:rPr>
          <w:rFonts w:ascii="宋体" w:hAnsi="宋体"/>
          <w:b/>
          <w:bCs/>
          <w:sz w:val="24"/>
          <w:szCs w:val="24"/>
          <w:highlight w:val="none"/>
          <w:lang w:val="zh-CN"/>
        </w:rPr>
      </w:pPr>
      <w:r>
        <w:rPr>
          <w:rFonts w:hint="eastAsia" w:ascii="宋体" w:hAnsi="宋体"/>
          <w:b/>
          <w:bCs/>
          <w:sz w:val="24"/>
          <w:szCs w:val="24"/>
          <w:highlight w:val="none"/>
        </w:rPr>
        <w:t>（八）要求采购人提供的配合（如有自拟并自行添加）</w:t>
      </w:r>
    </w:p>
    <w:p w14:paraId="3A2FCE86">
      <w:pPr>
        <w:tabs>
          <w:tab w:val="left" w:pos="0"/>
          <w:tab w:val="left" w:pos="255"/>
        </w:tabs>
        <w:spacing w:line="360" w:lineRule="auto"/>
        <w:rPr>
          <w:rFonts w:ascii="宋体" w:hAnsi="宋体"/>
          <w:b/>
          <w:bCs/>
          <w:sz w:val="24"/>
          <w:szCs w:val="24"/>
          <w:highlight w:val="none"/>
          <w:lang w:val="zh-CN"/>
        </w:rPr>
      </w:pPr>
    </w:p>
    <w:p w14:paraId="4899242F">
      <w:pPr>
        <w:tabs>
          <w:tab w:val="left" w:pos="0"/>
          <w:tab w:val="left" w:pos="255"/>
        </w:tabs>
        <w:spacing w:line="360" w:lineRule="auto"/>
        <w:rPr>
          <w:rFonts w:ascii="宋体" w:hAnsi="宋体"/>
          <w:b/>
          <w:bCs/>
          <w:sz w:val="24"/>
          <w:szCs w:val="24"/>
          <w:highlight w:val="none"/>
          <w:lang w:val="zh-CN"/>
        </w:rPr>
      </w:pPr>
    </w:p>
    <w:p w14:paraId="1177BC9C">
      <w:pPr>
        <w:tabs>
          <w:tab w:val="left" w:pos="0"/>
          <w:tab w:val="left" w:pos="255"/>
        </w:tabs>
        <w:spacing w:line="360" w:lineRule="auto"/>
        <w:rPr>
          <w:rFonts w:ascii="宋体" w:hAnsi="宋体"/>
          <w:b/>
          <w:bCs/>
          <w:sz w:val="24"/>
          <w:szCs w:val="24"/>
          <w:highlight w:val="none"/>
          <w:lang w:val="zh-CN"/>
        </w:rPr>
      </w:pPr>
    </w:p>
    <w:p w14:paraId="30FE2759">
      <w:pPr>
        <w:tabs>
          <w:tab w:val="left" w:pos="0"/>
          <w:tab w:val="left" w:pos="255"/>
        </w:tabs>
        <w:spacing w:line="360" w:lineRule="auto"/>
        <w:rPr>
          <w:rFonts w:ascii="宋体" w:hAnsi="宋体"/>
          <w:b/>
          <w:bCs/>
          <w:sz w:val="24"/>
          <w:szCs w:val="24"/>
          <w:highlight w:val="none"/>
          <w:lang w:val="zh-CN"/>
        </w:rPr>
      </w:pPr>
    </w:p>
    <w:p w14:paraId="011BD74F">
      <w:pPr>
        <w:tabs>
          <w:tab w:val="left" w:pos="0"/>
          <w:tab w:val="left" w:pos="255"/>
        </w:tabs>
        <w:spacing w:line="360" w:lineRule="auto"/>
        <w:rPr>
          <w:rFonts w:ascii="宋体" w:hAnsi="宋体"/>
          <w:b/>
          <w:bCs/>
          <w:sz w:val="24"/>
          <w:szCs w:val="24"/>
          <w:highlight w:val="none"/>
          <w:lang w:val="zh-CN"/>
        </w:rPr>
      </w:pPr>
    </w:p>
    <w:p w14:paraId="1387F83D">
      <w:pPr>
        <w:tabs>
          <w:tab w:val="left" w:pos="0"/>
          <w:tab w:val="left" w:pos="255"/>
        </w:tabs>
        <w:spacing w:line="360" w:lineRule="auto"/>
        <w:rPr>
          <w:rFonts w:ascii="宋体" w:hAnsi="宋体"/>
          <w:b/>
          <w:bCs/>
          <w:sz w:val="24"/>
          <w:szCs w:val="24"/>
          <w:highlight w:val="none"/>
          <w:lang w:val="zh-CN"/>
        </w:rPr>
      </w:pPr>
    </w:p>
    <w:p w14:paraId="2548000B">
      <w:pPr>
        <w:tabs>
          <w:tab w:val="left" w:pos="0"/>
          <w:tab w:val="left" w:pos="255"/>
        </w:tabs>
        <w:spacing w:line="360" w:lineRule="auto"/>
        <w:rPr>
          <w:rFonts w:ascii="宋体" w:hAnsi="宋体"/>
          <w:b/>
          <w:bCs/>
          <w:sz w:val="24"/>
          <w:szCs w:val="24"/>
          <w:highlight w:val="none"/>
          <w:lang w:val="zh-CN"/>
        </w:rPr>
      </w:pPr>
    </w:p>
    <w:p w14:paraId="0251FB10">
      <w:pPr>
        <w:tabs>
          <w:tab w:val="left" w:pos="0"/>
          <w:tab w:val="left" w:pos="255"/>
        </w:tabs>
        <w:spacing w:line="360" w:lineRule="auto"/>
        <w:rPr>
          <w:rFonts w:ascii="宋体" w:hAnsi="宋体"/>
          <w:b/>
          <w:bCs/>
          <w:sz w:val="24"/>
          <w:szCs w:val="24"/>
          <w:highlight w:val="none"/>
          <w:lang w:val="zh-CN"/>
        </w:rPr>
      </w:pPr>
    </w:p>
    <w:p w14:paraId="6468EEE5">
      <w:pPr>
        <w:tabs>
          <w:tab w:val="left" w:pos="0"/>
          <w:tab w:val="left" w:pos="255"/>
        </w:tabs>
        <w:spacing w:line="360" w:lineRule="auto"/>
        <w:rPr>
          <w:rFonts w:ascii="宋体" w:hAnsi="宋体"/>
          <w:b/>
          <w:bCs/>
          <w:sz w:val="24"/>
          <w:szCs w:val="24"/>
          <w:highlight w:val="none"/>
          <w:lang w:val="zh-CN"/>
        </w:rPr>
      </w:pPr>
    </w:p>
    <w:p w14:paraId="79829074">
      <w:pPr>
        <w:tabs>
          <w:tab w:val="left" w:pos="0"/>
          <w:tab w:val="left" w:pos="255"/>
        </w:tabs>
        <w:spacing w:line="360" w:lineRule="auto"/>
        <w:rPr>
          <w:rFonts w:ascii="宋体" w:hAnsi="宋体"/>
          <w:b/>
          <w:bCs/>
          <w:sz w:val="24"/>
          <w:szCs w:val="24"/>
          <w:highlight w:val="none"/>
          <w:lang w:val="zh-CN"/>
        </w:rPr>
      </w:pPr>
    </w:p>
    <w:p w14:paraId="2AE9C076">
      <w:pPr>
        <w:tabs>
          <w:tab w:val="left" w:pos="0"/>
          <w:tab w:val="left" w:pos="255"/>
        </w:tabs>
        <w:spacing w:line="360" w:lineRule="auto"/>
        <w:rPr>
          <w:rFonts w:ascii="宋体" w:hAnsi="宋体"/>
          <w:b/>
          <w:bCs/>
          <w:sz w:val="24"/>
          <w:szCs w:val="24"/>
          <w:highlight w:val="none"/>
          <w:lang w:val="zh-CN"/>
        </w:rPr>
      </w:pPr>
    </w:p>
    <w:p w14:paraId="1FD64C8C">
      <w:pPr>
        <w:tabs>
          <w:tab w:val="left" w:pos="0"/>
          <w:tab w:val="left" w:pos="255"/>
        </w:tabs>
        <w:spacing w:line="360" w:lineRule="auto"/>
        <w:rPr>
          <w:rFonts w:ascii="宋体" w:hAnsi="宋体"/>
          <w:b/>
          <w:bCs/>
          <w:sz w:val="24"/>
          <w:szCs w:val="24"/>
          <w:highlight w:val="none"/>
          <w:lang w:val="zh-CN"/>
        </w:rPr>
      </w:pPr>
    </w:p>
    <w:p w14:paraId="3AC9CF7D">
      <w:pPr>
        <w:tabs>
          <w:tab w:val="left" w:pos="0"/>
          <w:tab w:val="left" w:pos="255"/>
        </w:tabs>
        <w:spacing w:line="360" w:lineRule="auto"/>
        <w:rPr>
          <w:rFonts w:ascii="宋体" w:hAnsi="宋体"/>
          <w:b/>
          <w:bCs/>
          <w:sz w:val="24"/>
          <w:szCs w:val="24"/>
          <w:highlight w:val="none"/>
          <w:lang w:val="zh-CN"/>
        </w:rPr>
      </w:pPr>
      <w:r>
        <w:rPr>
          <w:rFonts w:hint="eastAsia" w:ascii="宋体" w:hAnsi="宋体"/>
          <w:b/>
          <w:bCs/>
          <w:sz w:val="24"/>
          <w:szCs w:val="24"/>
          <w:highlight w:val="none"/>
          <w:lang w:val="zh-CN"/>
        </w:rPr>
        <w:t>（</w:t>
      </w:r>
      <w:r>
        <w:rPr>
          <w:rFonts w:hint="eastAsia" w:ascii="宋体" w:hAnsi="宋体"/>
          <w:b/>
          <w:bCs/>
          <w:sz w:val="24"/>
          <w:szCs w:val="24"/>
          <w:highlight w:val="none"/>
        </w:rPr>
        <w:t>九</w:t>
      </w:r>
      <w:r>
        <w:rPr>
          <w:rFonts w:hint="eastAsia" w:ascii="宋体" w:hAnsi="宋体"/>
          <w:b/>
          <w:bCs/>
          <w:sz w:val="24"/>
          <w:szCs w:val="24"/>
          <w:highlight w:val="none"/>
          <w:lang w:val="zh-CN"/>
        </w:rPr>
        <w:t>）其他（投标人认为有必要提供的声明和文件，</w:t>
      </w:r>
      <w:r>
        <w:rPr>
          <w:rFonts w:hint="eastAsia" w:ascii="宋体" w:hAnsi="宋体"/>
          <w:b/>
          <w:bCs/>
          <w:sz w:val="24"/>
          <w:szCs w:val="24"/>
          <w:highlight w:val="none"/>
        </w:rPr>
        <w:t>如有自拟并自行添加）</w:t>
      </w:r>
    </w:p>
    <w:p w14:paraId="3BB5F973">
      <w:pPr>
        <w:jc w:val="center"/>
        <w:rPr>
          <w:rFonts w:ascii="宋体" w:hAnsi="宋体" w:eastAsia="宋体" w:cs="Times New Roman"/>
          <w:sz w:val="24"/>
          <w:szCs w:val="21"/>
          <w:highlight w:val="none"/>
          <w:lang w:val="zh-CN"/>
        </w:rPr>
      </w:pPr>
    </w:p>
    <w:sectPr>
      <w:pgSz w:w="11907" w:h="16840"/>
      <w:pgMar w:top="1134" w:right="1134" w:bottom="1134" w:left="1134"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B0604020202020204"/>
    <w:charset w:val="00"/>
    <w:family w:val="roman"/>
    <w:pitch w:val="default"/>
    <w:sig w:usb0="00000000" w:usb1="00000000" w:usb2="00000000" w:usb3="00000000" w:csb0="00000093"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14:paraId="1D9A5D41">
        <w:pPr>
          <w:pStyle w:val="19"/>
          <w:jc w:val="center"/>
        </w:pPr>
        <w:r>
          <w:fldChar w:fldCharType="begin"/>
        </w:r>
        <w:r>
          <w:instrText xml:space="preserve"> PAGE   \* MERGEFORMAT </w:instrText>
        </w:r>
        <w:r>
          <w:fldChar w:fldCharType="separate"/>
        </w:r>
        <w:r>
          <w:rPr>
            <w:lang w:val="zh-CN"/>
          </w:rPr>
          <w:t>-</w:t>
        </w:r>
        <w:r>
          <w:t xml:space="preserve"> 1 -</w:t>
        </w:r>
        <w:r>
          <w:fldChar w:fldCharType="end"/>
        </w:r>
      </w:p>
    </w:sdtContent>
  </w:sdt>
  <w:p w14:paraId="7C85E0F9">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053BD">
    <w:pPr>
      <w:pStyle w:val="19"/>
    </w:pPr>
    <w:r>
      <w:fldChar w:fldCharType="begin"/>
    </w:r>
    <w:r>
      <w:instrText xml:space="preserve"> PAGE   \* MERGEFORMAT </w:instrText>
    </w:r>
    <w:r>
      <w:fldChar w:fldCharType="separate"/>
    </w:r>
    <w:r>
      <w:rPr>
        <w:lang w:val="zh-CN"/>
      </w:rPr>
      <w:t>-</w:t>
    </w:r>
    <w:r>
      <w:t xml:space="preserve"> 1 -</w:t>
    </w:r>
    <w:r>
      <w:fldChar w:fldCharType="end"/>
    </w:r>
  </w:p>
  <w:p w14:paraId="3C71B235">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E099D">
    <w:pPr>
      <w:pStyle w:val="19"/>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14:paraId="4FDE977F">
        <w:pPr>
          <w:pStyle w:val="19"/>
          <w:jc w:val="center"/>
        </w:pPr>
        <w:r>
          <w:fldChar w:fldCharType="begin"/>
        </w:r>
        <w:r>
          <w:instrText xml:space="preserve"> PAGE   \* MERGEFORMAT </w:instrText>
        </w:r>
        <w:r>
          <w:fldChar w:fldCharType="separate"/>
        </w:r>
        <w:r>
          <w:rPr>
            <w:lang w:val="zh-CN"/>
          </w:rPr>
          <w:t>3</w:t>
        </w:r>
        <w:r>
          <w:rPr>
            <w:lang w:val="zh-CN"/>
          </w:rPr>
          <w:fldChar w:fldCharType="end"/>
        </w:r>
      </w:p>
    </w:sdtContent>
  </w:sdt>
  <w:p w14:paraId="669F8DB9">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784D5">
    <w:pPr>
      <w:pStyle w:val="1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26372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58</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v:fill on="f" focussize="0,0"/>
              <v:stroke on="f"/>
              <v:imagedata o:title=""/>
              <o:lock v:ext="edit" aspectratio="f"/>
              <v:textbox inset="0mm,0mm,0mm,0mm" style="mso-fit-shape-to-text:t;">
                <w:txbxContent>
                  <w:p w14:paraId="3B26372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58</w:t>
                    </w:r>
                    <w:r>
                      <w:rPr>
                        <w:rFonts w:hint="eastAsia"/>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FF5A7">
    <w:pPr>
      <w:pStyle w:val="1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9942"/>
                          </w:sdtPr>
                          <w:sdtContent>
                            <w:p w14:paraId="4FE60688">
                              <w:pPr>
                                <w:pStyle w:val="19"/>
                                <w:jc w:val="center"/>
                              </w:pPr>
                              <w:r>
                                <w:fldChar w:fldCharType="begin"/>
                              </w:r>
                              <w:r>
                                <w:instrText xml:space="preserve"> PAGE   \* MERGEFORMAT </w:instrText>
                              </w:r>
                              <w:r>
                                <w:fldChar w:fldCharType="separate"/>
                              </w:r>
                              <w:r>
                                <w:rPr>
                                  <w:lang w:val="zh-CN"/>
                                </w:rPr>
                                <w:t>3</w:t>
                              </w:r>
                              <w:r>
                                <w:rPr>
                                  <w:lang w:val="zh-CN"/>
                                </w:rPr>
                                <w:fldChar w:fldCharType="end"/>
                              </w:r>
                            </w:p>
                          </w:sdtContent>
                        </w:sdt>
                        <w:p w14:paraId="510587D1">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id w:val="147469942"/>
                    </w:sdtPr>
                    <w:sdtContent>
                      <w:p w14:paraId="4FE60688">
                        <w:pPr>
                          <w:pStyle w:val="19"/>
                          <w:jc w:val="center"/>
                        </w:pPr>
                        <w:r>
                          <w:fldChar w:fldCharType="begin"/>
                        </w:r>
                        <w:r>
                          <w:instrText xml:space="preserve"> PAGE   \* MERGEFORMAT </w:instrText>
                        </w:r>
                        <w:r>
                          <w:fldChar w:fldCharType="separate"/>
                        </w:r>
                        <w:r>
                          <w:rPr>
                            <w:lang w:val="zh-CN"/>
                          </w:rPr>
                          <w:t>3</w:t>
                        </w:r>
                        <w:r>
                          <w:rPr>
                            <w:lang w:val="zh-CN"/>
                          </w:rPr>
                          <w:fldChar w:fldCharType="end"/>
                        </w:r>
                      </w:p>
                    </w:sdtContent>
                  </w:sdt>
                  <w:p w14:paraId="510587D1">
                    <w:pPr>
                      <w:pStyle w:val="2"/>
                    </w:pPr>
                  </w:p>
                </w:txbxContent>
              </v:textbox>
            </v:shape>
          </w:pict>
        </mc:Fallback>
      </mc:AlternateContent>
    </w:r>
  </w:p>
  <w:p w14:paraId="12FF5FAE">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F9708">
    <w:pPr>
      <w:pStyle w:val="20"/>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8542F8"/>
    <w:multiLevelType w:val="singleLevel"/>
    <w:tmpl w:val="D88542F8"/>
    <w:lvl w:ilvl="0" w:tentative="0">
      <w:start w:val="1"/>
      <w:numFmt w:val="decimalEnclosedCircleChinese"/>
      <w:suff w:val="nothing"/>
      <w:lvlText w:val="%1　"/>
      <w:lvlJc w:val="left"/>
      <w:pPr>
        <w:ind w:left="26" w:firstLine="400"/>
      </w:pPr>
      <w:rPr>
        <w:rFonts w:hint="eastAsia"/>
      </w:rPr>
    </w:lvl>
  </w:abstractNum>
  <w:abstractNum w:abstractNumId="1">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3">
    <w:nsid w:val="00000003"/>
    <w:multiLevelType w:val="singleLevel"/>
    <w:tmpl w:val="00000003"/>
    <w:lvl w:ilvl="0" w:tentative="0">
      <w:start w:val="1"/>
      <w:numFmt w:val="decimal"/>
      <w:lvlText w:val="%1."/>
      <w:lvlJc w:val="left"/>
      <w:pPr>
        <w:tabs>
          <w:tab w:val="left" w:pos="210"/>
        </w:tabs>
        <w:ind w:left="210" w:hanging="210"/>
      </w:pPr>
      <w:rPr>
        <w:rFonts w:hint="default" w:ascii="Times New Roman" w:cs="Times New Roman"/>
      </w:rPr>
    </w:lvl>
  </w:abstractNum>
  <w:abstractNum w:abstractNumId="4">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5">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9">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1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2">
    <w:nsid w:val="59B65253"/>
    <w:multiLevelType w:val="singleLevel"/>
    <w:tmpl w:val="59B65253"/>
    <w:lvl w:ilvl="0" w:tentative="0">
      <w:start w:val="1"/>
      <w:numFmt w:val="decimalEnclosedCircleChinese"/>
      <w:suff w:val="nothing"/>
      <w:lvlText w:val="%1　"/>
      <w:lvlJc w:val="left"/>
      <w:pPr>
        <w:ind w:left="-116" w:firstLine="400"/>
      </w:pPr>
      <w:rPr>
        <w:rFonts w:hint="eastAsia"/>
      </w:rPr>
    </w:lvl>
  </w:abstractNum>
  <w:abstractNum w:abstractNumId="1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4">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5">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6">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5"/>
  </w:num>
  <w:num w:numId="2">
    <w:abstractNumId w:val="8"/>
  </w:num>
  <w:num w:numId="3">
    <w:abstractNumId w:val="9"/>
  </w:num>
  <w:num w:numId="4">
    <w:abstractNumId w:val="4"/>
  </w:num>
  <w:num w:numId="5">
    <w:abstractNumId w:val="13"/>
  </w:num>
  <w:num w:numId="6">
    <w:abstractNumId w:val="10"/>
  </w:num>
  <w:num w:numId="7">
    <w:abstractNumId w:val="11"/>
  </w:num>
  <w:num w:numId="8">
    <w:abstractNumId w:val="1"/>
  </w:num>
  <w:num w:numId="9">
    <w:abstractNumId w:val="6"/>
  </w:num>
  <w:num w:numId="10">
    <w:abstractNumId w:val="7"/>
  </w:num>
  <w:num w:numId="11">
    <w:abstractNumId w:val="16"/>
  </w:num>
  <w:num w:numId="12">
    <w:abstractNumId w:val="14"/>
  </w:num>
  <w:num w:numId="13">
    <w:abstractNumId w:val="5"/>
    <w:lvlOverride w:ilvl="0">
      <w:startOverride w:val="1"/>
    </w:lvlOverride>
  </w:num>
  <w:num w:numId="14">
    <w:abstractNumId w:val="2"/>
  </w:num>
  <w:num w:numId="15">
    <w:abstractNumId w:val="12"/>
  </w:num>
  <w:num w:numId="16">
    <w:abstractNumId w:val="3"/>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B03A14"/>
    <w:rsid w:val="000008D7"/>
    <w:rsid w:val="0000364F"/>
    <w:rsid w:val="00003749"/>
    <w:rsid w:val="000057D9"/>
    <w:rsid w:val="000069E6"/>
    <w:rsid w:val="00007C88"/>
    <w:rsid w:val="00031420"/>
    <w:rsid w:val="00031564"/>
    <w:rsid w:val="0003725E"/>
    <w:rsid w:val="000402EE"/>
    <w:rsid w:val="00047239"/>
    <w:rsid w:val="00047743"/>
    <w:rsid w:val="0006506C"/>
    <w:rsid w:val="0006629F"/>
    <w:rsid w:val="00070EAE"/>
    <w:rsid w:val="00070F2E"/>
    <w:rsid w:val="00073CCA"/>
    <w:rsid w:val="00074D4A"/>
    <w:rsid w:val="00077B03"/>
    <w:rsid w:val="000876D5"/>
    <w:rsid w:val="000956E9"/>
    <w:rsid w:val="000975CD"/>
    <w:rsid w:val="000A63CE"/>
    <w:rsid w:val="000B1CE7"/>
    <w:rsid w:val="000B4C70"/>
    <w:rsid w:val="000B7EB4"/>
    <w:rsid w:val="000C1832"/>
    <w:rsid w:val="000C69C5"/>
    <w:rsid w:val="000C7EBF"/>
    <w:rsid w:val="000D3A8A"/>
    <w:rsid w:val="000D3B9A"/>
    <w:rsid w:val="000D41AC"/>
    <w:rsid w:val="000E0284"/>
    <w:rsid w:val="000E1F0D"/>
    <w:rsid w:val="000E65C5"/>
    <w:rsid w:val="000F2AC6"/>
    <w:rsid w:val="000F4432"/>
    <w:rsid w:val="000F4DF8"/>
    <w:rsid w:val="000F5B6F"/>
    <w:rsid w:val="000F6B59"/>
    <w:rsid w:val="00106C5A"/>
    <w:rsid w:val="00115B8A"/>
    <w:rsid w:val="00117A3B"/>
    <w:rsid w:val="00124DAC"/>
    <w:rsid w:val="00125E68"/>
    <w:rsid w:val="001265C7"/>
    <w:rsid w:val="00126748"/>
    <w:rsid w:val="00130CAF"/>
    <w:rsid w:val="00133785"/>
    <w:rsid w:val="0013504C"/>
    <w:rsid w:val="001405AB"/>
    <w:rsid w:val="00143746"/>
    <w:rsid w:val="00144FFF"/>
    <w:rsid w:val="00156417"/>
    <w:rsid w:val="001654B4"/>
    <w:rsid w:val="00176D71"/>
    <w:rsid w:val="00196AF9"/>
    <w:rsid w:val="00196D5A"/>
    <w:rsid w:val="001A4B36"/>
    <w:rsid w:val="001B544A"/>
    <w:rsid w:val="001B7BDC"/>
    <w:rsid w:val="001C3C4B"/>
    <w:rsid w:val="001D69DC"/>
    <w:rsid w:val="001E3858"/>
    <w:rsid w:val="001F2C62"/>
    <w:rsid w:val="001F64DA"/>
    <w:rsid w:val="0020521F"/>
    <w:rsid w:val="00206C0A"/>
    <w:rsid w:val="0020700C"/>
    <w:rsid w:val="002102B0"/>
    <w:rsid w:val="00211B02"/>
    <w:rsid w:val="00212725"/>
    <w:rsid w:val="00213A7A"/>
    <w:rsid w:val="00216BF7"/>
    <w:rsid w:val="0022382C"/>
    <w:rsid w:val="002310AA"/>
    <w:rsid w:val="00246A98"/>
    <w:rsid w:val="00255930"/>
    <w:rsid w:val="00255A6A"/>
    <w:rsid w:val="00261C14"/>
    <w:rsid w:val="002647D5"/>
    <w:rsid w:val="0026697F"/>
    <w:rsid w:val="00270C0F"/>
    <w:rsid w:val="002718AB"/>
    <w:rsid w:val="0028001E"/>
    <w:rsid w:val="00281308"/>
    <w:rsid w:val="00287669"/>
    <w:rsid w:val="00294869"/>
    <w:rsid w:val="00295299"/>
    <w:rsid w:val="002A353F"/>
    <w:rsid w:val="002B0AE3"/>
    <w:rsid w:val="002C2391"/>
    <w:rsid w:val="002C2442"/>
    <w:rsid w:val="002C6A33"/>
    <w:rsid w:val="002D4811"/>
    <w:rsid w:val="002E2B80"/>
    <w:rsid w:val="002F0D7D"/>
    <w:rsid w:val="002F19FF"/>
    <w:rsid w:val="002F48D9"/>
    <w:rsid w:val="00300543"/>
    <w:rsid w:val="003120EA"/>
    <w:rsid w:val="00313190"/>
    <w:rsid w:val="00315064"/>
    <w:rsid w:val="003217A2"/>
    <w:rsid w:val="00323289"/>
    <w:rsid w:val="003315C5"/>
    <w:rsid w:val="00341635"/>
    <w:rsid w:val="00347A54"/>
    <w:rsid w:val="00351435"/>
    <w:rsid w:val="00352364"/>
    <w:rsid w:val="00361462"/>
    <w:rsid w:val="00362841"/>
    <w:rsid w:val="00362C89"/>
    <w:rsid w:val="0036530C"/>
    <w:rsid w:val="00365B36"/>
    <w:rsid w:val="003949C2"/>
    <w:rsid w:val="003A16D6"/>
    <w:rsid w:val="003B672E"/>
    <w:rsid w:val="003D0FCF"/>
    <w:rsid w:val="003D1D67"/>
    <w:rsid w:val="003D2307"/>
    <w:rsid w:val="003E46F4"/>
    <w:rsid w:val="003F0E48"/>
    <w:rsid w:val="0040236B"/>
    <w:rsid w:val="0040406C"/>
    <w:rsid w:val="004116F0"/>
    <w:rsid w:val="004134F2"/>
    <w:rsid w:val="00423880"/>
    <w:rsid w:val="00424BF7"/>
    <w:rsid w:val="00433D8F"/>
    <w:rsid w:val="00440627"/>
    <w:rsid w:val="00443AF0"/>
    <w:rsid w:val="00454676"/>
    <w:rsid w:val="00456ADA"/>
    <w:rsid w:val="00464E75"/>
    <w:rsid w:val="004663A5"/>
    <w:rsid w:val="0047078F"/>
    <w:rsid w:val="00470847"/>
    <w:rsid w:val="00471D91"/>
    <w:rsid w:val="0047319B"/>
    <w:rsid w:val="00473971"/>
    <w:rsid w:val="00474450"/>
    <w:rsid w:val="004762B4"/>
    <w:rsid w:val="00492AEC"/>
    <w:rsid w:val="00492AED"/>
    <w:rsid w:val="004948D5"/>
    <w:rsid w:val="004B057D"/>
    <w:rsid w:val="004B11AA"/>
    <w:rsid w:val="004B231B"/>
    <w:rsid w:val="004C337E"/>
    <w:rsid w:val="004C5850"/>
    <w:rsid w:val="004C67D0"/>
    <w:rsid w:val="004C6D22"/>
    <w:rsid w:val="004D149A"/>
    <w:rsid w:val="004D257A"/>
    <w:rsid w:val="004E50E3"/>
    <w:rsid w:val="004E6F5A"/>
    <w:rsid w:val="004F4131"/>
    <w:rsid w:val="005239D0"/>
    <w:rsid w:val="00526C03"/>
    <w:rsid w:val="00530A20"/>
    <w:rsid w:val="00530CB8"/>
    <w:rsid w:val="005426D0"/>
    <w:rsid w:val="00546AF5"/>
    <w:rsid w:val="005510B1"/>
    <w:rsid w:val="00551FFF"/>
    <w:rsid w:val="0055258A"/>
    <w:rsid w:val="0055432D"/>
    <w:rsid w:val="00555974"/>
    <w:rsid w:val="0055717D"/>
    <w:rsid w:val="00563492"/>
    <w:rsid w:val="00566BFF"/>
    <w:rsid w:val="00575AA1"/>
    <w:rsid w:val="005806AC"/>
    <w:rsid w:val="0058112F"/>
    <w:rsid w:val="00582E87"/>
    <w:rsid w:val="005836B9"/>
    <w:rsid w:val="0058722C"/>
    <w:rsid w:val="005879CA"/>
    <w:rsid w:val="005B0E50"/>
    <w:rsid w:val="005C19EE"/>
    <w:rsid w:val="005D1373"/>
    <w:rsid w:val="005D74B5"/>
    <w:rsid w:val="005E06D0"/>
    <w:rsid w:val="005F12F2"/>
    <w:rsid w:val="005F29E7"/>
    <w:rsid w:val="005F780B"/>
    <w:rsid w:val="00602B50"/>
    <w:rsid w:val="006149C1"/>
    <w:rsid w:val="0061763B"/>
    <w:rsid w:val="00625D30"/>
    <w:rsid w:val="00630225"/>
    <w:rsid w:val="00635C77"/>
    <w:rsid w:val="00637475"/>
    <w:rsid w:val="0066262B"/>
    <w:rsid w:val="006646EC"/>
    <w:rsid w:val="006665AF"/>
    <w:rsid w:val="00667B7A"/>
    <w:rsid w:val="00673495"/>
    <w:rsid w:val="0067355B"/>
    <w:rsid w:val="00675F40"/>
    <w:rsid w:val="00683E61"/>
    <w:rsid w:val="00692B5B"/>
    <w:rsid w:val="006951FD"/>
    <w:rsid w:val="006A48FC"/>
    <w:rsid w:val="006A6F6E"/>
    <w:rsid w:val="006B70F5"/>
    <w:rsid w:val="006C3A2A"/>
    <w:rsid w:val="006D0733"/>
    <w:rsid w:val="006D4078"/>
    <w:rsid w:val="006D7392"/>
    <w:rsid w:val="006E0E25"/>
    <w:rsid w:val="006E116E"/>
    <w:rsid w:val="006E593C"/>
    <w:rsid w:val="006E5E74"/>
    <w:rsid w:val="006E64D5"/>
    <w:rsid w:val="006E6C80"/>
    <w:rsid w:val="006E7A81"/>
    <w:rsid w:val="006F05F2"/>
    <w:rsid w:val="00700883"/>
    <w:rsid w:val="00715326"/>
    <w:rsid w:val="00716746"/>
    <w:rsid w:val="007210D0"/>
    <w:rsid w:val="007225CF"/>
    <w:rsid w:val="00734A61"/>
    <w:rsid w:val="00742BA9"/>
    <w:rsid w:val="00746763"/>
    <w:rsid w:val="007479A4"/>
    <w:rsid w:val="0075475E"/>
    <w:rsid w:val="007560A2"/>
    <w:rsid w:val="00761E24"/>
    <w:rsid w:val="00762B9E"/>
    <w:rsid w:val="00764329"/>
    <w:rsid w:val="0077304E"/>
    <w:rsid w:val="007759DC"/>
    <w:rsid w:val="00777516"/>
    <w:rsid w:val="0078053C"/>
    <w:rsid w:val="00783242"/>
    <w:rsid w:val="00797EAB"/>
    <w:rsid w:val="007A6639"/>
    <w:rsid w:val="007B1BA6"/>
    <w:rsid w:val="007C35D5"/>
    <w:rsid w:val="007D0642"/>
    <w:rsid w:val="007D7320"/>
    <w:rsid w:val="007F40B6"/>
    <w:rsid w:val="007F53DB"/>
    <w:rsid w:val="007F67F0"/>
    <w:rsid w:val="00812098"/>
    <w:rsid w:val="0082418E"/>
    <w:rsid w:val="00824C6D"/>
    <w:rsid w:val="00836CC7"/>
    <w:rsid w:val="0085107D"/>
    <w:rsid w:val="00864286"/>
    <w:rsid w:val="00865D99"/>
    <w:rsid w:val="00877B9D"/>
    <w:rsid w:val="00884EF7"/>
    <w:rsid w:val="00885FA6"/>
    <w:rsid w:val="0089015A"/>
    <w:rsid w:val="00897165"/>
    <w:rsid w:val="00897423"/>
    <w:rsid w:val="008B036A"/>
    <w:rsid w:val="008B1FFB"/>
    <w:rsid w:val="008B460F"/>
    <w:rsid w:val="008B6AA3"/>
    <w:rsid w:val="008B7BA4"/>
    <w:rsid w:val="008C3A69"/>
    <w:rsid w:val="008D2731"/>
    <w:rsid w:val="008D2A3D"/>
    <w:rsid w:val="008E14B8"/>
    <w:rsid w:val="008E4133"/>
    <w:rsid w:val="008F3CC7"/>
    <w:rsid w:val="00903D2E"/>
    <w:rsid w:val="00910843"/>
    <w:rsid w:val="00925A45"/>
    <w:rsid w:val="00925DF8"/>
    <w:rsid w:val="009262A9"/>
    <w:rsid w:val="00926A89"/>
    <w:rsid w:val="00936C14"/>
    <w:rsid w:val="00936D5F"/>
    <w:rsid w:val="00936EC3"/>
    <w:rsid w:val="009405BF"/>
    <w:rsid w:val="00946EEA"/>
    <w:rsid w:val="0096109B"/>
    <w:rsid w:val="00974B5B"/>
    <w:rsid w:val="00983DBF"/>
    <w:rsid w:val="00996BCD"/>
    <w:rsid w:val="009A000F"/>
    <w:rsid w:val="009B383A"/>
    <w:rsid w:val="009C4468"/>
    <w:rsid w:val="009D3443"/>
    <w:rsid w:val="009D42DF"/>
    <w:rsid w:val="009D72D8"/>
    <w:rsid w:val="009E53D8"/>
    <w:rsid w:val="00A06AA5"/>
    <w:rsid w:val="00A07936"/>
    <w:rsid w:val="00A13269"/>
    <w:rsid w:val="00A20EC2"/>
    <w:rsid w:val="00A225DE"/>
    <w:rsid w:val="00A25BC6"/>
    <w:rsid w:val="00A34F8E"/>
    <w:rsid w:val="00A4365E"/>
    <w:rsid w:val="00A556E4"/>
    <w:rsid w:val="00A668FC"/>
    <w:rsid w:val="00A71CF5"/>
    <w:rsid w:val="00A72279"/>
    <w:rsid w:val="00A738A3"/>
    <w:rsid w:val="00A84C20"/>
    <w:rsid w:val="00A906D4"/>
    <w:rsid w:val="00A93D45"/>
    <w:rsid w:val="00AA466C"/>
    <w:rsid w:val="00AA544E"/>
    <w:rsid w:val="00AB36F2"/>
    <w:rsid w:val="00AB409D"/>
    <w:rsid w:val="00AB5626"/>
    <w:rsid w:val="00AC5FEB"/>
    <w:rsid w:val="00AD34B8"/>
    <w:rsid w:val="00AE2AB4"/>
    <w:rsid w:val="00AE3308"/>
    <w:rsid w:val="00AE5663"/>
    <w:rsid w:val="00AE602B"/>
    <w:rsid w:val="00AF464C"/>
    <w:rsid w:val="00B0344E"/>
    <w:rsid w:val="00B03A14"/>
    <w:rsid w:val="00B06DD7"/>
    <w:rsid w:val="00B15642"/>
    <w:rsid w:val="00B25918"/>
    <w:rsid w:val="00B32F83"/>
    <w:rsid w:val="00B343B8"/>
    <w:rsid w:val="00B45533"/>
    <w:rsid w:val="00B52C3C"/>
    <w:rsid w:val="00B52E55"/>
    <w:rsid w:val="00B53255"/>
    <w:rsid w:val="00B578E9"/>
    <w:rsid w:val="00B712E2"/>
    <w:rsid w:val="00B82643"/>
    <w:rsid w:val="00B857A8"/>
    <w:rsid w:val="00B93D3B"/>
    <w:rsid w:val="00BA493E"/>
    <w:rsid w:val="00BA5BE1"/>
    <w:rsid w:val="00BA65F3"/>
    <w:rsid w:val="00BB3405"/>
    <w:rsid w:val="00BB4DDD"/>
    <w:rsid w:val="00BB569E"/>
    <w:rsid w:val="00BB6CCC"/>
    <w:rsid w:val="00BB767C"/>
    <w:rsid w:val="00BB79F0"/>
    <w:rsid w:val="00BC16F3"/>
    <w:rsid w:val="00BC1F62"/>
    <w:rsid w:val="00BC2CAB"/>
    <w:rsid w:val="00BD32F5"/>
    <w:rsid w:val="00BD52EC"/>
    <w:rsid w:val="00C032C7"/>
    <w:rsid w:val="00C0629A"/>
    <w:rsid w:val="00C1289E"/>
    <w:rsid w:val="00C13F5B"/>
    <w:rsid w:val="00C15565"/>
    <w:rsid w:val="00C318C4"/>
    <w:rsid w:val="00C33C1B"/>
    <w:rsid w:val="00C57A05"/>
    <w:rsid w:val="00C664AF"/>
    <w:rsid w:val="00C750F5"/>
    <w:rsid w:val="00C82F32"/>
    <w:rsid w:val="00C844AD"/>
    <w:rsid w:val="00C9321E"/>
    <w:rsid w:val="00C96AE8"/>
    <w:rsid w:val="00CA431F"/>
    <w:rsid w:val="00CB3ADF"/>
    <w:rsid w:val="00CB64D6"/>
    <w:rsid w:val="00CC309F"/>
    <w:rsid w:val="00CD3F4F"/>
    <w:rsid w:val="00CD6E81"/>
    <w:rsid w:val="00CE502C"/>
    <w:rsid w:val="00CF2B3B"/>
    <w:rsid w:val="00D01904"/>
    <w:rsid w:val="00D038EF"/>
    <w:rsid w:val="00D05139"/>
    <w:rsid w:val="00D11C8B"/>
    <w:rsid w:val="00D12E6F"/>
    <w:rsid w:val="00D156FE"/>
    <w:rsid w:val="00D17B31"/>
    <w:rsid w:val="00D2148C"/>
    <w:rsid w:val="00D219FB"/>
    <w:rsid w:val="00D22D31"/>
    <w:rsid w:val="00D3024B"/>
    <w:rsid w:val="00D36ADC"/>
    <w:rsid w:val="00D40529"/>
    <w:rsid w:val="00D443B3"/>
    <w:rsid w:val="00D528C3"/>
    <w:rsid w:val="00D54294"/>
    <w:rsid w:val="00D54B12"/>
    <w:rsid w:val="00D55973"/>
    <w:rsid w:val="00D63A5D"/>
    <w:rsid w:val="00D67E95"/>
    <w:rsid w:val="00D80282"/>
    <w:rsid w:val="00D81F95"/>
    <w:rsid w:val="00D8759B"/>
    <w:rsid w:val="00DB4396"/>
    <w:rsid w:val="00DC0EC3"/>
    <w:rsid w:val="00DC69F8"/>
    <w:rsid w:val="00DD79E3"/>
    <w:rsid w:val="00DE103A"/>
    <w:rsid w:val="00DF02C9"/>
    <w:rsid w:val="00DF5361"/>
    <w:rsid w:val="00DF646C"/>
    <w:rsid w:val="00E05B33"/>
    <w:rsid w:val="00E06773"/>
    <w:rsid w:val="00E072ED"/>
    <w:rsid w:val="00E1251B"/>
    <w:rsid w:val="00E13AF3"/>
    <w:rsid w:val="00E15CDD"/>
    <w:rsid w:val="00E25C71"/>
    <w:rsid w:val="00E30041"/>
    <w:rsid w:val="00E54E2B"/>
    <w:rsid w:val="00E57253"/>
    <w:rsid w:val="00E60525"/>
    <w:rsid w:val="00E64281"/>
    <w:rsid w:val="00E6637D"/>
    <w:rsid w:val="00E86A2B"/>
    <w:rsid w:val="00E8752B"/>
    <w:rsid w:val="00E9106C"/>
    <w:rsid w:val="00E91352"/>
    <w:rsid w:val="00E91A23"/>
    <w:rsid w:val="00E93B2F"/>
    <w:rsid w:val="00E95984"/>
    <w:rsid w:val="00E96118"/>
    <w:rsid w:val="00EA01AD"/>
    <w:rsid w:val="00EA1956"/>
    <w:rsid w:val="00EB6B1C"/>
    <w:rsid w:val="00EC0BFA"/>
    <w:rsid w:val="00EC3E13"/>
    <w:rsid w:val="00ED2ADA"/>
    <w:rsid w:val="00ED2B49"/>
    <w:rsid w:val="00EE15E3"/>
    <w:rsid w:val="00EE605F"/>
    <w:rsid w:val="00EE611C"/>
    <w:rsid w:val="00EE7DA0"/>
    <w:rsid w:val="00EF0F10"/>
    <w:rsid w:val="00EF3A6F"/>
    <w:rsid w:val="00EF3D63"/>
    <w:rsid w:val="00F10257"/>
    <w:rsid w:val="00F1115D"/>
    <w:rsid w:val="00F142A0"/>
    <w:rsid w:val="00F17B30"/>
    <w:rsid w:val="00F31EA1"/>
    <w:rsid w:val="00F32F60"/>
    <w:rsid w:val="00F46250"/>
    <w:rsid w:val="00F53253"/>
    <w:rsid w:val="00F542C6"/>
    <w:rsid w:val="00F5518A"/>
    <w:rsid w:val="00F572E3"/>
    <w:rsid w:val="00F6324E"/>
    <w:rsid w:val="00F6398F"/>
    <w:rsid w:val="00F65169"/>
    <w:rsid w:val="00F70A45"/>
    <w:rsid w:val="00F73111"/>
    <w:rsid w:val="00F7455E"/>
    <w:rsid w:val="00F75B5B"/>
    <w:rsid w:val="00F75BB7"/>
    <w:rsid w:val="00F93B93"/>
    <w:rsid w:val="00F95170"/>
    <w:rsid w:val="00F96A2F"/>
    <w:rsid w:val="00FA0394"/>
    <w:rsid w:val="00FA56FE"/>
    <w:rsid w:val="00FB0BB2"/>
    <w:rsid w:val="00FC1963"/>
    <w:rsid w:val="00FC2760"/>
    <w:rsid w:val="00FC650B"/>
    <w:rsid w:val="00FC7666"/>
    <w:rsid w:val="00FD3CA0"/>
    <w:rsid w:val="00FD5993"/>
    <w:rsid w:val="00FE6A64"/>
    <w:rsid w:val="00FF1ACD"/>
    <w:rsid w:val="00FF1FD5"/>
    <w:rsid w:val="00FF5F36"/>
    <w:rsid w:val="00FF6A2A"/>
    <w:rsid w:val="01BF5A50"/>
    <w:rsid w:val="01D136A9"/>
    <w:rsid w:val="01D303E3"/>
    <w:rsid w:val="01FF6927"/>
    <w:rsid w:val="02F64FC9"/>
    <w:rsid w:val="030376EE"/>
    <w:rsid w:val="03071357"/>
    <w:rsid w:val="031108E0"/>
    <w:rsid w:val="031B66C8"/>
    <w:rsid w:val="033B605D"/>
    <w:rsid w:val="034D6BB0"/>
    <w:rsid w:val="036066C3"/>
    <w:rsid w:val="03A61172"/>
    <w:rsid w:val="03C74493"/>
    <w:rsid w:val="04741B16"/>
    <w:rsid w:val="060C2D08"/>
    <w:rsid w:val="066F3664"/>
    <w:rsid w:val="068A09FF"/>
    <w:rsid w:val="068F128E"/>
    <w:rsid w:val="08477A2E"/>
    <w:rsid w:val="08675042"/>
    <w:rsid w:val="089C2E16"/>
    <w:rsid w:val="0938537B"/>
    <w:rsid w:val="0A217728"/>
    <w:rsid w:val="0A99164E"/>
    <w:rsid w:val="0AF40E05"/>
    <w:rsid w:val="0BB86AA1"/>
    <w:rsid w:val="0BCB1E8D"/>
    <w:rsid w:val="0C9873D3"/>
    <w:rsid w:val="0DBF7672"/>
    <w:rsid w:val="0DDD0978"/>
    <w:rsid w:val="0E163220"/>
    <w:rsid w:val="0E864B30"/>
    <w:rsid w:val="0EC01066"/>
    <w:rsid w:val="0F5A7965"/>
    <w:rsid w:val="0FA35AAF"/>
    <w:rsid w:val="0FBB4FEC"/>
    <w:rsid w:val="0FD23122"/>
    <w:rsid w:val="0FF74A34"/>
    <w:rsid w:val="100F76D9"/>
    <w:rsid w:val="1041589F"/>
    <w:rsid w:val="104F7BEE"/>
    <w:rsid w:val="10793E6A"/>
    <w:rsid w:val="11507CD0"/>
    <w:rsid w:val="11572F60"/>
    <w:rsid w:val="11873EF3"/>
    <w:rsid w:val="118A3AC3"/>
    <w:rsid w:val="11E94254"/>
    <w:rsid w:val="121A3847"/>
    <w:rsid w:val="12E106B0"/>
    <w:rsid w:val="1328362C"/>
    <w:rsid w:val="141C0AEB"/>
    <w:rsid w:val="14297ACF"/>
    <w:rsid w:val="143D0525"/>
    <w:rsid w:val="143F4B18"/>
    <w:rsid w:val="144A4A8F"/>
    <w:rsid w:val="15135111"/>
    <w:rsid w:val="152F51D9"/>
    <w:rsid w:val="15431C25"/>
    <w:rsid w:val="15703208"/>
    <w:rsid w:val="16490F82"/>
    <w:rsid w:val="16DB62BD"/>
    <w:rsid w:val="16F23DE7"/>
    <w:rsid w:val="174A303A"/>
    <w:rsid w:val="176E7498"/>
    <w:rsid w:val="178642C9"/>
    <w:rsid w:val="17B22D7B"/>
    <w:rsid w:val="191510AD"/>
    <w:rsid w:val="1962483F"/>
    <w:rsid w:val="199A63EE"/>
    <w:rsid w:val="19B67A3B"/>
    <w:rsid w:val="19E23D13"/>
    <w:rsid w:val="19EC329F"/>
    <w:rsid w:val="1A9F40C1"/>
    <w:rsid w:val="1D085BCA"/>
    <w:rsid w:val="1D0B7468"/>
    <w:rsid w:val="1D234E8D"/>
    <w:rsid w:val="1DB40862"/>
    <w:rsid w:val="1DD37B1C"/>
    <w:rsid w:val="1E0565AE"/>
    <w:rsid w:val="1E343B94"/>
    <w:rsid w:val="1E3A563C"/>
    <w:rsid w:val="1E5109CC"/>
    <w:rsid w:val="1EDA7170"/>
    <w:rsid w:val="1EF34658"/>
    <w:rsid w:val="1FE24F5B"/>
    <w:rsid w:val="1FEE4CB6"/>
    <w:rsid w:val="203C1865"/>
    <w:rsid w:val="2177735E"/>
    <w:rsid w:val="22960428"/>
    <w:rsid w:val="22B13EF7"/>
    <w:rsid w:val="22F877C4"/>
    <w:rsid w:val="22FD614D"/>
    <w:rsid w:val="24153159"/>
    <w:rsid w:val="25136D15"/>
    <w:rsid w:val="25264941"/>
    <w:rsid w:val="254932B9"/>
    <w:rsid w:val="25647366"/>
    <w:rsid w:val="264A25C2"/>
    <w:rsid w:val="26D92FEA"/>
    <w:rsid w:val="278D705A"/>
    <w:rsid w:val="279D2FA9"/>
    <w:rsid w:val="28D952F2"/>
    <w:rsid w:val="290F7E49"/>
    <w:rsid w:val="292466EB"/>
    <w:rsid w:val="29882E14"/>
    <w:rsid w:val="29FC1747"/>
    <w:rsid w:val="2A1A67FA"/>
    <w:rsid w:val="2A5E4B2F"/>
    <w:rsid w:val="2B440B60"/>
    <w:rsid w:val="2B9B0AE2"/>
    <w:rsid w:val="2BDE72C2"/>
    <w:rsid w:val="2CC35E92"/>
    <w:rsid w:val="2D4D27CD"/>
    <w:rsid w:val="2D627891"/>
    <w:rsid w:val="2D7A0017"/>
    <w:rsid w:val="2E45190A"/>
    <w:rsid w:val="2E953036"/>
    <w:rsid w:val="2FDE1B64"/>
    <w:rsid w:val="2FF21525"/>
    <w:rsid w:val="300C0852"/>
    <w:rsid w:val="308C1FFE"/>
    <w:rsid w:val="30A17469"/>
    <w:rsid w:val="30C3748F"/>
    <w:rsid w:val="30C50D88"/>
    <w:rsid w:val="30F46F58"/>
    <w:rsid w:val="314E7AC9"/>
    <w:rsid w:val="319D671E"/>
    <w:rsid w:val="31A6555A"/>
    <w:rsid w:val="321F664B"/>
    <w:rsid w:val="32667C21"/>
    <w:rsid w:val="32682B0C"/>
    <w:rsid w:val="327A11DA"/>
    <w:rsid w:val="32E074A7"/>
    <w:rsid w:val="33FA0B1E"/>
    <w:rsid w:val="348F6959"/>
    <w:rsid w:val="34C82ED9"/>
    <w:rsid w:val="357B4FC9"/>
    <w:rsid w:val="35CF0519"/>
    <w:rsid w:val="364E115C"/>
    <w:rsid w:val="36536AF5"/>
    <w:rsid w:val="36891926"/>
    <w:rsid w:val="36AC3612"/>
    <w:rsid w:val="36CE2DF4"/>
    <w:rsid w:val="375D6DCD"/>
    <w:rsid w:val="392E47B3"/>
    <w:rsid w:val="394A7023"/>
    <w:rsid w:val="394E5BCB"/>
    <w:rsid w:val="394F7B57"/>
    <w:rsid w:val="39A408ED"/>
    <w:rsid w:val="39F650B1"/>
    <w:rsid w:val="3A2C6493"/>
    <w:rsid w:val="3A445238"/>
    <w:rsid w:val="3A77613D"/>
    <w:rsid w:val="3A776764"/>
    <w:rsid w:val="3B06610E"/>
    <w:rsid w:val="3C0E520D"/>
    <w:rsid w:val="3C0E5DF8"/>
    <w:rsid w:val="3C1A71B0"/>
    <w:rsid w:val="3CE03FA0"/>
    <w:rsid w:val="3D9A72B8"/>
    <w:rsid w:val="3DDE089D"/>
    <w:rsid w:val="3E5F49C8"/>
    <w:rsid w:val="3EF9316D"/>
    <w:rsid w:val="3F0044FB"/>
    <w:rsid w:val="402C2017"/>
    <w:rsid w:val="407469B6"/>
    <w:rsid w:val="41264BEF"/>
    <w:rsid w:val="41665FC1"/>
    <w:rsid w:val="4168282C"/>
    <w:rsid w:val="41D171ED"/>
    <w:rsid w:val="42F43032"/>
    <w:rsid w:val="42F54D55"/>
    <w:rsid w:val="43317C7B"/>
    <w:rsid w:val="433606B6"/>
    <w:rsid w:val="434E194B"/>
    <w:rsid w:val="43DC3B5F"/>
    <w:rsid w:val="451E1923"/>
    <w:rsid w:val="45722501"/>
    <w:rsid w:val="45A16FB6"/>
    <w:rsid w:val="45FA2BD0"/>
    <w:rsid w:val="45FB6A25"/>
    <w:rsid w:val="47185F41"/>
    <w:rsid w:val="47596E9F"/>
    <w:rsid w:val="47A07772"/>
    <w:rsid w:val="47AB676D"/>
    <w:rsid w:val="47C9212B"/>
    <w:rsid w:val="485B2DA0"/>
    <w:rsid w:val="48927BC0"/>
    <w:rsid w:val="48E233CB"/>
    <w:rsid w:val="49104968"/>
    <w:rsid w:val="49993098"/>
    <w:rsid w:val="49BC6207"/>
    <w:rsid w:val="4A6E63FA"/>
    <w:rsid w:val="4A9F0A04"/>
    <w:rsid w:val="4AAF13F0"/>
    <w:rsid w:val="4B3B04AE"/>
    <w:rsid w:val="4C2F574F"/>
    <w:rsid w:val="4CD314A1"/>
    <w:rsid w:val="4CD36A54"/>
    <w:rsid w:val="4D1127C3"/>
    <w:rsid w:val="4D2C295F"/>
    <w:rsid w:val="4ED211ED"/>
    <w:rsid w:val="4F78055B"/>
    <w:rsid w:val="4F9C5E10"/>
    <w:rsid w:val="4FD57A42"/>
    <w:rsid w:val="50131027"/>
    <w:rsid w:val="504C7418"/>
    <w:rsid w:val="509B7073"/>
    <w:rsid w:val="51481DCD"/>
    <w:rsid w:val="51E342BC"/>
    <w:rsid w:val="51F61144"/>
    <w:rsid w:val="52627EDD"/>
    <w:rsid w:val="527135C4"/>
    <w:rsid w:val="528B1ED6"/>
    <w:rsid w:val="52B07281"/>
    <w:rsid w:val="52DE3C62"/>
    <w:rsid w:val="52EB5448"/>
    <w:rsid w:val="539E15B8"/>
    <w:rsid w:val="53F56FDD"/>
    <w:rsid w:val="54145A1F"/>
    <w:rsid w:val="545C32C3"/>
    <w:rsid w:val="550A130F"/>
    <w:rsid w:val="554967A4"/>
    <w:rsid w:val="55DA38A0"/>
    <w:rsid w:val="56E025BD"/>
    <w:rsid w:val="5838665C"/>
    <w:rsid w:val="584D32AD"/>
    <w:rsid w:val="5858090E"/>
    <w:rsid w:val="586D7189"/>
    <w:rsid w:val="59167189"/>
    <w:rsid w:val="597C18C5"/>
    <w:rsid w:val="5A10244E"/>
    <w:rsid w:val="5A5F4374"/>
    <w:rsid w:val="5A8B33BB"/>
    <w:rsid w:val="5AA05C4C"/>
    <w:rsid w:val="5AAE2A51"/>
    <w:rsid w:val="5ABE7EC5"/>
    <w:rsid w:val="5AC13A88"/>
    <w:rsid w:val="5ADC3C17"/>
    <w:rsid w:val="5B920B84"/>
    <w:rsid w:val="5C715BFA"/>
    <w:rsid w:val="5D3D5419"/>
    <w:rsid w:val="5D6D638D"/>
    <w:rsid w:val="5DE17464"/>
    <w:rsid w:val="5E7E21CD"/>
    <w:rsid w:val="5F402934"/>
    <w:rsid w:val="5FA711DE"/>
    <w:rsid w:val="5FD53742"/>
    <w:rsid w:val="5FDE417C"/>
    <w:rsid w:val="5FDF6C2A"/>
    <w:rsid w:val="60117EB6"/>
    <w:rsid w:val="60207DAE"/>
    <w:rsid w:val="618A6AC5"/>
    <w:rsid w:val="61B63FA3"/>
    <w:rsid w:val="620D5E36"/>
    <w:rsid w:val="62105B2E"/>
    <w:rsid w:val="621A3249"/>
    <w:rsid w:val="62D91574"/>
    <w:rsid w:val="62E428C6"/>
    <w:rsid w:val="635428C5"/>
    <w:rsid w:val="63B14C75"/>
    <w:rsid w:val="641F4B74"/>
    <w:rsid w:val="64281C7B"/>
    <w:rsid w:val="64B703AE"/>
    <w:rsid w:val="654E0916"/>
    <w:rsid w:val="65790634"/>
    <w:rsid w:val="658E4092"/>
    <w:rsid w:val="662D3578"/>
    <w:rsid w:val="6645574B"/>
    <w:rsid w:val="665D08DD"/>
    <w:rsid w:val="668928D1"/>
    <w:rsid w:val="66D641C2"/>
    <w:rsid w:val="67344300"/>
    <w:rsid w:val="673D4AD5"/>
    <w:rsid w:val="67AC4971"/>
    <w:rsid w:val="67FE2213"/>
    <w:rsid w:val="68B91C07"/>
    <w:rsid w:val="68D30FAC"/>
    <w:rsid w:val="68E24BE7"/>
    <w:rsid w:val="69046561"/>
    <w:rsid w:val="69091CE9"/>
    <w:rsid w:val="69F3542B"/>
    <w:rsid w:val="6AD25C1C"/>
    <w:rsid w:val="6B0928CD"/>
    <w:rsid w:val="6B860100"/>
    <w:rsid w:val="6BE14931"/>
    <w:rsid w:val="6C5E2F20"/>
    <w:rsid w:val="6E47372B"/>
    <w:rsid w:val="6E621C9C"/>
    <w:rsid w:val="6EB66DC9"/>
    <w:rsid w:val="6F493653"/>
    <w:rsid w:val="6FE27182"/>
    <w:rsid w:val="714563D8"/>
    <w:rsid w:val="715C11B6"/>
    <w:rsid w:val="71C633A6"/>
    <w:rsid w:val="71C9278B"/>
    <w:rsid w:val="729E789B"/>
    <w:rsid w:val="72D75D83"/>
    <w:rsid w:val="73191209"/>
    <w:rsid w:val="73932BC2"/>
    <w:rsid w:val="7400305D"/>
    <w:rsid w:val="74725F4B"/>
    <w:rsid w:val="74FA0C81"/>
    <w:rsid w:val="75262365"/>
    <w:rsid w:val="75A67085"/>
    <w:rsid w:val="7641260F"/>
    <w:rsid w:val="764F2160"/>
    <w:rsid w:val="76DA04C6"/>
    <w:rsid w:val="774E379A"/>
    <w:rsid w:val="787C7AA4"/>
    <w:rsid w:val="796D5673"/>
    <w:rsid w:val="79FC3536"/>
    <w:rsid w:val="7A3D1136"/>
    <w:rsid w:val="7AE20889"/>
    <w:rsid w:val="7BE15DA3"/>
    <w:rsid w:val="7C030B5E"/>
    <w:rsid w:val="7D421016"/>
    <w:rsid w:val="7D51602E"/>
    <w:rsid w:val="7DC8084B"/>
    <w:rsid w:val="7DE858A5"/>
    <w:rsid w:val="7E6D055E"/>
    <w:rsid w:val="7EAD1A12"/>
    <w:rsid w:val="7EB97C47"/>
    <w:rsid w:val="7EEC6BBF"/>
    <w:rsid w:val="7FC37E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6"/>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5">
    <w:name w:val="heading 2"/>
    <w:basedOn w:val="1"/>
    <w:next w:val="1"/>
    <w:link w:val="37"/>
    <w:qFormat/>
    <w:uiPriority w:val="0"/>
    <w:pPr>
      <w:keepNext/>
      <w:keepLines/>
      <w:spacing w:before="260" w:after="260" w:line="413" w:lineRule="auto"/>
      <w:outlineLvl w:val="1"/>
    </w:pPr>
    <w:rPr>
      <w:rFonts w:ascii="Arial" w:hAnsi="Arial" w:eastAsia="黑体" w:cs="Times New Roman"/>
      <w:b/>
      <w:sz w:val="32"/>
      <w:szCs w:val="20"/>
    </w:rPr>
  </w:style>
  <w:style w:type="paragraph" w:styleId="6">
    <w:name w:val="heading 3"/>
    <w:basedOn w:val="1"/>
    <w:next w:val="1"/>
    <w:link w:val="38"/>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7">
    <w:name w:val="heading 4"/>
    <w:basedOn w:val="1"/>
    <w:next w:val="1"/>
    <w:link w:val="39"/>
    <w:qFormat/>
    <w:uiPriority w:val="0"/>
    <w:pPr>
      <w:keepNext/>
      <w:keepLines/>
      <w:spacing w:before="280" w:after="290" w:line="372" w:lineRule="auto"/>
      <w:outlineLvl w:val="3"/>
    </w:pPr>
    <w:rPr>
      <w:rFonts w:ascii="Arial" w:hAnsi="Arial" w:eastAsia="黑体" w:cs="Times New Roman"/>
      <w:b/>
      <w:sz w:val="28"/>
      <w:szCs w:val="20"/>
    </w:rPr>
  </w:style>
  <w:style w:type="paragraph" w:styleId="8">
    <w:name w:val="heading 5"/>
    <w:basedOn w:val="1"/>
    <w:next w:val="1"/>
    <w:link w:val="40"/>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9">
    <w:name w:val="heading 6"/>
    <w:basedOn w:val="1"/>
    <w:next w:val="1"/>
    <w:link w:val="41"/>
    <w:qFormat/>
    <w:uiPriority w:val="0"/>
    <w:pPr>
      <w:keepNext/>
      <w:keepLines/>
      <w:spacing w:before="240" w:after="64" w:line="317" w:lineRule="auto"/>
      <w:outlineLvl w:val="5"/>
    </w:pPr>
    <w:rPr>
      <w:rFonts w:ascii="Arial" w:hAnsi="Arial" w:eastAsia="黑体" w:cs="Times New Roman"/>
      <w:b/>
      <w:sz w:val="24"/>
      <w:szCs w:val="20"/>
    </w:rPr>
  </w:style>
  <w:style w:type="paragraph" w:styleId="10">
    <w:name w:val="heading 7"/>
    <w:basedOn w:val="1"/>
    <w:next w:val="1"/>
    <w:link w:val="42"/>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11">
    <w:name w:val="heading 8"/>
    <w:basedOn w:val="1"/>
    <w:next w:val="1"/>
    <w:link w:val="43"/>
    <w:qFormat/>
    <w:uiPriority w:val="0"/>
    <w:pPr>
      <w:keepNext/>
      <w:keepLines/>
      <w:spacing w:before="240" w:after="64" w:line="317" w:lineRule="auto"/>
      <w:outlineLvl w:val="7"/>
    </w:pPr>
    <w:rPr>
      <w:rFonts w:ascii="Arial" w:hAnsi="Arial" w:eastAsia="黑体" w:cs="Times New Roman"/>
      <w:sz w:val="24"/>
      <w:szCs w:val="20"/>
    </w:rPr>
  </w:style>
  <w:style w:type="paragraph" w:styleId="12">
    <w:name w:val="heading 9"/>
    <w:basedOn w:val="1"/>
    <w:next w:val="1"/>
    <w:link w:val="44"/>
    <w:qFormat/>
    <w:uiPriority w:val="0"/>
    <w:pPr>
      <w:keepNext/>
      <w:keepLines/>
      <w:spacing w:before="240" w:after="64" w:line="317" w:lineRule="auto"/>
      <w:outlineLvl w:val="8"/>
    </w:pPr>
    <w:rPr>
      <w:rFonts w:ascii="Arial" w:hAnsi="Arial" w:eastAsia="黑体" w:cs="Times New Roman"/>
      <w:szCs w:val="20"/>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6"/>
    <w:qFormat/>
    <w:uiPriority w:val="0"/>
    <w:rPr>
      <w:rFonts w:ascii="Times New Roman" w:hAnsi="Times New Roman" w:eastAsia="宋体" w:cs="Times New Roman"/>
      <w:sz w:val="20"/>
      <w:szCs w:val="20"/>
    </w:rPr>
  </w:style>
  <w:style w:type="paragraph" w:styleId="3">
    <w:name w:val="toc 2"/>
    <w:basedOn w:val="1"/>
    <w:next w:val="1"/>
    <w:qFormat/>
    <w:uiPriority w:val="0"/>
    <w:pPr>
      <w:ind w:left="420" w:leftChars="200"/>
    </w:pPr>
    <w:rPr>
      <w:rFonts w:ascii="Times New Roman" w:hAnsi="Times New Roman" w:eastAsia="宋体" w:cs="Times New Roman"/>
      <w:szCs w:val="20"/>
    </w:rPr>
  </w:style>
  <w:style w:type="paragraph" w:styleId="13">
    <w:name w:val="Normal Indent"/>
    <w:basedOn w:val="1"/>
    <w:qFormat/>
    <w:uiPriority w:val="99"/>
    <w:pPr>
      <w:spacing w:beforeLines="50" w:line="360" w:lineRule="auto"/>
      <w:ind w:firstLine="720" w:firstLineChars="300"/>
    </w:pPr>
    <w:rPr>
      <w:rFonts w:ascii="CG Times" w:hAnsi="CG Times"/>
      <w:bCs/>
      <w:sz w:val="24"/>
    </w:rPr>
  </w:style>
  <w:style w:type="paragraph" w:styleId="14">
    <w:name w:val="annotation text"/>
    <w:basedOn w:val="1"/>
    <w:link w:val="53"/>
    <w:qFormat/>
    <w:uiPriority w:val="0"/>
    <w:pPr>
      <w:jc w:val="left"/>
    </w:pPr>
    <w:rPr>
      <w:rFonts w:ascii="Times New Roman" w:hAnsi="Times New Roman" w:eastAsia="宋体" w:cs="Times New Roman"/>
      <w:szCs w:val="20"/>
    </w:rPr>
  </w:style>
  <w:style w:type="paragraph" w:styleId="15">
    <w:name w:val="Body Text Indent"/>
    <w:basedOn w:val="1"/>
    <w:next w:val="16"/>
    <w:qFormat/>
    <w:uiPriority w:val="0"/>
    <w:pPr>
      <w:spacing w:after="120"/>
      <w:ind w:left="420" w:leftChars="200"/>
    </w:pPr>
    <w:rPr>
      <w:szCs w:val="24"/>
    </w:rPr>
  </w:style>
  <w:style w:type="paragraph" w:styleId="16">
    <w:name w:val="envelope return"/>
    <w:basedOn w:val="1"/>
    <w:qFormat/>
    <w:uiPriority w:val="0"/>
    <w:pPr>
      <w:snapToGrid w:val="0"/>
    </w:pPr>
    <w:rPr>
      <w:rFonts w:ascii="Arial" w:hAnsi="Arial"/>
    </w:rPr>
  </w:style>
  <w:style w:type="paragraph" w:styleId="17">
    <w:name w:val="Plain Text"/>
    <w:basedOn w:val="1"/>
    <w:link w:val="56"/>
    <w:qFormat/>
    <w:uiPriority w:val="0"/>
    <w:rPr>
      <w:rFonts w:ascii="宋体" w:hAnsi="Courier New" w:eastAsia="宋体" w:cs="Times New Roman"/>
      <w:szCs w:val="20"/>
    </w:rPr>
  </w:style>
  <w:style w:type="paragraph" w:styleId="18">
    <w:name w:val="Balloon Text"/>
    <w:basedOn w:val="1"/>
    <w:link w:val="45"/>
    <w:semiHidden/>
    <w:qFormat/>
    <w:uiPriority w:val="0"/>
    <w:rPr>
      <w:rFonts w:ascii="Times New Roman" w:hAnsi="Times New Roman" w:eastAsia="宋体" w:cs="Times New Roman"/>
      <w:sz w:val="18"/>
      <w:szCs w:val="18"/>
    </w:rPr>
  </w:style>
  <w:style w:type="paragraph" w:styleId="19">
    <w:name w:val="footer"/>
    <w:basedOn w:val="1"/>
    <w:link w:val="35"/>
    <w:unhideWhenUsed/>
    <w:qFormat/>
    <w:uiPriority w:val="99"/>
    <w:pPr>
      <w:tabs>
        <w:tab w:val="center" w:pos="4153"/>
        <w:tab w:val="right" w:pos="8306"/>
      </w:tabs>
      <w:snapToGrid w:val="0"/>
      <w:jc w:val="left"/>
    </w:pPr>
    <w:rPr>
      <w:sz w:val="18"/>
      <w:szCs w:val="18"/>
    </w:rPr>
  </w:style>
  <w:style w:type="paragraph" w:styleId="20">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rPr>
      <w:rFonts w:ascii="Times New Roman" w:hAnsi="Times New Roman" w:eastAsia="宋体" w:cs="Times New Roman"/>
      <w:szCs w:val="20"/>
    </w:rPr>
  </w:style>
  <w:style w:type="paragraph" w:styleId="22">
    <w:name w:val="Body Text Indent 3"/>
    <w:basedOn w:val="1"/>
    <w:link w:val="52"/>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3">
    <w:name w:val="Body Text 2"/>
    <w:basedOn w:val="1"/>
    <w:link w:val="49"/>
    <w:qFormat/>
    <w:uiPriority w:val="0"/>
    <w:pPr>
      <w:spacing w:after="120" w:line="480" w:lineRule="auto"/>
    </w:pPr>
    <w:rPr>
      <w:rFonts w:ascii="Times New Roman" w:hAnsi="Times New Roman" w:eastAsia="宋体" w:cs="Times New Roman"/>
      <w:sz w:val="20"/>
      <w:szCs w:val="20"/>
    </w:rPr>
  </w:style>
  <w:style w:type="paragraph" w:styleId="24">
    <w:name w:val="Normal (Web)"/>
    <w:basedOn w:val="1"/>
    <w:unhideWhenUsed/>
    <w:qFormat/>
    <w:uiPriority w:val="99"/>
    <w:pPr>
      <w:spacing w:before="100" w:beforeAutospacing="1" w:after="100" w:afterAutospacing="1"/>
      <w:jc w:val="left"/>
    </w:pPr>
    <w:rPr>
      <w:rFonts w:ascii="Times New Roman" w:hAnsi="Times New Roman"/>
      <w:kern w:val="0"/>
      <w:sz w:val="24"/>
    </w:rPr>
  </w:style>
  <w:style w:type="paragraph" w:styleId="25">
    <w:name w:val="annotation subject"/>
    <w:basedOn w:val="14"/>
    <w:next w:val="14"/>
    <w:link w:val="57"/>
    <w:qFormat/>
    <w:uiPriority w:val="0"/>
    <w:rPr>
      <w:b/>
      <w:bCs/>
    </w:rPr>
  </w:style>
  <w:style w:type="paragraph" w:styleId="26">
    <w:name w:val="Body Text First Indent"/>
    <w:basedOn w:val="1"/>
    <w:qFormat/>
    <w:uiPriority w:val="0"/>
    <w:pPr>
      <w:spacing w:after="120"/>
      <w:ind w:firstLine="420" w:firstLineChars="100"/>
    </w:p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qFormat/>
    <w:uiPriority w:val="0"/>
  </w:style>
  <w:style w:type="character" w:styleId="31">
    <w:name w:val="FollowedHyperlink"/>
    <w:qFormat/>
    <w:uiPriority w:val="0"/>
    <w:rPr>
      <w:color w:val="auto"/>
      <w:u w:val="none"/>
    </w:rPr>
  </w:style>
  <w:style w:type="character" w:styleId="32">
    <w:name w:val="Hyperlink"/>
    <w:basedOn w:val="29"/>
    <w:unhideWhenUsed/>
    <w:qFormat/>
    <w:uiPriority w:val="99"/>
    <w:rPr>
      <w:color w:val="0000FF"/>
      <w:u w:val="single"/>
    </w:rPr>
  </w:style>
  <w:style w:type="character" w:styleId="33">
    <w:name w:val="annotation reference"/>
    <w:basedOn w:val="29"/>
    <w:qFormat/>
    <w:uiPriority w:val="0"/>
    <w:rPr>
      <w:sz w:val="21"/>
      <w:szCs w:val="21"/>
    </w:rPr>
  </w:style>
  <w:style w:type="character" w:customStyle="1" w:styleId="34">
    <w:name w:val="页眉 Char"/>
    <w:basedOn w:val="29"/>
    <w:link w:val="20"/>
    <w:qFormat/>
    <w:uiPriority w:val="99"/>
    <w:rPr>
      <w:sz w:val="18"/>
      <w:szCs w:val="18"/>
    </w:rPr>
  </w:style>
  <w:style w:type="character" w:customStyle="1" w:styleId="35">
    <w:name w:val="页脚 Char"/>
    <w:basedOn w:val="29"/>
    <w:link w:val="19"/>
    <w:qFormat/>
    <w:uiPriority w:val="99"/>
    <w:rPr>
      <w:sz w:val="18"/>
      <w:szCs w:val="18"/>
    </w:rPr>
  </w:style>
  <w:style w:type="character" w:customStyle="1" w:styleId="36">
    <w:name w:val="标题 1 Char"/>
    <w:basedOn w:val="29"/>
    <w:link w:val="4"/>
    <w:qFormat/>
    <w:uiPriority w:val="0"/>
    <w:rPr>
      <w:rFonts w:ascii="Times New Roman" w:hAnsi="Times New Roman" w:eastAsia="宋体" w:cs="Times New Roman"/>
      <w:b/>
      <w:kern w:val="44"/>
      <w:sz w:val="44"/>
      <w:szCs w:val="20"/>
    </w:rPr>
  </w:style>
  <w:style w:type="character" w:customStyle="1" w:styleId="37">
    <w:name w:val="标题 2 Char"/>
    <w:basedOn w:val="29"/>
    <w:link w:val="5"/>
    <w:qFormat/>
    <w:uiPriority w:val="0"/>
    <w:rPr>
      <w:rFonts w:ascii="Arial" w:hAnsi="Arial" w:eastAsia="黑体" w:cs="Times New Roman"/>
      <w:b/>
      <w:sz w:val="32"/>
      <w:szCs w:val="20"/>
    </w:rPr>
  </w:style>
  <w:style w:type="character" w:customStyle="1" w:styleId="38">
    <w:name w:val="标题 3 Char"/>
    <w:basedOn w:val="29"/>
    <w:link w:val="6"/>
    <w:qFormat/>
    <w:uiPriority w:val="0"/>
    <w:rPr>
      <w:rFonts w:ascii="Times New Roman" w:hAnsi="Times New Roman" w:eastAsia="宋体" w:cs="Times New Roman"/>
      <w:b/>
      <w:sz w:val="32"/>
      <w:szCs w:val="20"/>
    </w:rPr>
  </w:style>
  <w:style w:type="character" w:customStyle="1" w:styleId="39">
    <w:name w:val="标题 4 Char"/>
    <w:basedOn w:val="29"/>
    <w:link w:val="7"/>
    <w:qFormat/>
    <w:uiPriority w:val="0"/>
    <w:rPr>
      <w:rFonts w:ascii="Arial" w:hAnsi="Arial" w:eastAsia="黑体" w:cs="Times New Roman"/>
      <w:b/>
      <w:sz w:val="28"/>
      <w:szCs w:val="20"/>
    </w:rPr>
  </w:style>
  <w:style w:type="character" w:customStyle="1" w:styleId="40">
    <w:name w:val="标题 5 Char"/>
    <w:basedOn w:val="29"/>
    <w:link w:val="8"/>
    <w:qFormat/>
    <w:uiPriority w:val="0"/>
    <w:rPr>
      <w:rFonts w:ascii="Times New Roman" w:hAnsi="Times New Roman" w:eastAsia="宋体" w:cs="Times New Roman"/>
      <w:b/>
      <w:sz w:val="28"/>
      <w:szCs w:val="20"/>
    </w:rPr>
  </w:style>
  <w:style w:type="character" w:customStyle="1" w:styleId="41">
    <w:name w:val="标题 6 Char"/>
    <w:basedOn w:val="29"/>
    <w:link w:val="9"/>
    <w:qFormat/>
    <w:uiPriority w:val="0"/>
    <w:rPr>
      <w:rFonts w:ascii="Arial" w:hAnsi="Arial" w:eastAsia="黑体" w:cs="Times New Roman"/>
      <w:b/>
      <w:sz w:val="24"/>
      <w:szCs w:val="20"/>
    </w:rPr>
  </w:style>
  <w:style w:type="character" w:customStyle="1" w:styleId="42">
    <w:name w:val="标题 7 Char"/>
    <w:basedOn w:val="29"/>
    <w:link w:val="10"/>
    <w:qFormat/>
    <w:uiPriority w:val="0"/>
    <w:rPr>
      <w:rFonts w:ascii="Times New Roman" w:hAnsi="Times New Roman" w:eastAsia="宋体" w:cs="Times New Roman"/>
      <w:b/>
      <w:sz w:val="24"/>
      <w:szCs w:val="20"/>
    </w:rPr>
  </w:style>
  <w:style w:type="character" w:customStyle="1" w:styleId="43">
    <w:name w:val="标题 8 Char"/>
    <w:basedOn w:val="29"/>
    <w:link w:val="11"/>
    <w:qFormat/>
    <w:uiPriority w:val="0"/>
    <w:rPr>
      <w:rFonts w:ascii="Arial" w:hAnsi="Arial" w:eastAsia="黑体" w:cs="Times New Roman"/>
      <w:sz w:val="24"/>
      <w:szCs w:val="20"/>
    </w:rPr>
  </w:style>
  <w:style w:type="character" w:customStyle="1" w:styleId="44">
    <w:name w:val="标题 9 Char"/>
    <w:basedOn w:val="29"/>
    <w:link w:val="12"/>
    <w:qFormat/>
    <w:uiPriority w:val="0"/>
    <w:rPr>
      <w:rFonts w:ascii="Arial" w:hAnsi="Arial" w:eastAsia="黑体" w:cs="Times New Roman"/>
      <w:szCs w:val="20"/>
    </w:rPr>
  </w:style>
  <w:style w:type="character" w:customStyle="1" w:styleId="45">
    <w:name w:val="批注框文本 Char"/>
    <w:basedOn w:val="29"/>
    <w:link w:val="18"/>
    <w:semiHidden/>
    <w:qFormat/>
    <w:uiPriority w:val="0"/>
    <w:rPr>
      <w:rFonts w:ascii="Times New Roman" w:hAnsi="Times New Roman" w:eastAsia="宋体" w:cs="Times New Roman"/>
      <w:sz w:val="18"/>
      <w:szCs w:val="18"/>
    </w:rPr>
  </w:style>
  <w:style w:type="character" w:customStyle="1" w:styleId="46">
    <w:name w:val="正文文本 Char"/>
    <w:basedOn w:val="29"/>
    <w:link w:val="2"/>
    <w:qFormat/>
    <w:uiPriority w:val="0"/>
    <w:rPr>
      <w:rFonts w:ascii="Times New Roman" w:hAnsi="Times New Roman" w:eastAsia="宋体" w:cs="Times New Roman"/>
      <w:sz w:val="20"/>
      <w:szCs w:val="20"/>
    </w:rPr>
  </w:style>
  <w:style w:type="paragraph" w:styleId="47">
    <w:name w:val="List Paragraph"/>
    <w:basedOn w:val="1"/>
    <w:qFormat/>
    <w:uiPriority w:val="0"/>
    <w:pPr>
      <w:ind w:firstLine="420" w:firstLineChars="200"/>
    </w:pPr>
    <w:rPr>
      <w:rFonts w:ascii="Times New Roman" w:hAnsi="Times New Roman" w:eastAsia="宋体" w:cs="Times New Roman"/>
      <w:szCs w:val="20"/>
    </w:rPr>
  </w:style>
  <w:style w:type="paragraph" w:customStyle="1" w:styleId="48">
    <w:name w:val="纯文本1"/>
    <w:basedOn w:val="1"/>
    <w:qFormat/>
    <w:uiPriority w:val="0"/>
    <w:rPr>
      <w:rFonts w:ascii="宋体" w:hAnsi="Courier New" w:eastAsia="宋体" w:cs="Times New Roman"/>
    </w:rPr>
  </w:style>
  <w:style w:type="character" w:customStyle="1" w:styleId="49">
    <w:name w:val="正文文本 2 Char"/>
    <w:basedOn w:val="29"/>
    <w:link w:val="23"/>
    <w:qFormat/>
    <w:uiPriority w:val="0"/>
    <w:rPr>
      <w:rFonts w:ascii="Times New Roman" w:hAnsi="Times New Roman" w:eastAsia="宋体" w:cs="Times New Roman"/>
      <w:sz w:val="20"/>
      <w:szCs w:val="20"/>
    </w:rPr>
  </w:style>
  <w:style w:type="paragraph" w:customStyle="1" w:styleId="50">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51">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52">
    <w:name w:val="正文文本缩进 3 Char"/>
    <w:basedOn w:val="29"/>
    <w:link w:val="22"/>
    <w:qFormat/>
    <w:uiPriority w:val="0"/>
    <w:rPr>
      <w:rFonts w:ascii="Times New Roman" w:hAnsi="Times New Roman" w:eastAsia="宋体" w:cs="Times New Roman"/>
      <w:kern w:val="0"/>
      <w:sz w:val="16"/>
      <w:szCs w:val="16"/>
    </w:rPr>
  </w:style>
  <w:style w:type="character" w:customStyle="1" w:styleId="53">
    <w:name w:val="批注文字 Char"/>
    <w:basedOn w:val="29"/>
    <w:link w:val="14"/>
    <w:qFormat/>
    <w:uiPriority w:val="0"/>
    <w:rPr>
      <w:rFonts w:ascii="Times New Roman" w:hAnsi="Times New Roman" w:eastAsia="宋体" w:cs="Times New Roman"/>
      <w:szCs w:val="20"/>
    </w:rPr>
  </w:style>
  <w:style w:type="paragraph" w:customStyle="1" w:styleId="54">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5">
    <w:name w:val="普通文字"/>
    <w:basedOn w:val="1"/>
    <w:next w:val="1"/>
    <w:qFormat/>
    <w:uiPriority w:val="0"/>
    <w:rPr>
      <w:rFonts w:ascii="宋体" w:hAnsi="Times New Roman" w:eastAsia="宋体" w:cs="Times New Roman"/>
      <w:kern w:val="0"/>
      <w:sz w:val="24"/>
      <w:szCs w:val="20"/>
      <w:u w:color="000000"/>
    </w:rPr>
  </w:style>
  <w:style w:type="character" w:customStyle="1" w:styleId="56">
    <w:name w:val="纯文本 Char1"/>
    <w:basedOn w:val="29"/>
    <w:link w:val="17"/>
    <w:qFormat/>
    <w:uiPriority w:val="0"/>
    <w:rPr>
      <w:rFonts w:ascii="宋体" w:hAnsi="Courier New" w:eastAsia="宋体" w:cs="Times New Roman"/>
      <w:szCs w:val="20"/>
    </w:rPr>
  </w:style>
  <w:style w:type="character" w:customStyle="1" w:styleId="57">
    <w:name w:val="批注主题 Char"/>
    <w:basedOn w:val="53"/>
    <w:link w:val="25"/>
    <w:qFormat/>
    <w:uiPriority w:val="0"/>
    <w:rPr>
      <w:rFonts w:ascii="Times New Roman" w:hAnsi="Times New Roman" w:eastAsia="宋体" w:cs="Times New Roman"/>
      <w:b/>
      <w:bCs/>
      <w:szCs w:val="20"/>
    </w:rPr>
  </w:style>
  <w:style w:type="paragraph" w:styleId="5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60">
    <w:name w:val="正文_1_0"/>
    <w:basedOn w:val="1"/>
    <w:qFormat/>
    <w:uiPriority w:val="0"/>
    <w:rPr>
      <w:rFonts w:ascii="Times New Roman" w:hAnsi="Times New Roman" w:eastAsia="宋体" w:cs="Times New Roman"/>
      <w:szCs w:val="24"/>
    </w:rPr>
  </w:style>
  <w:style w:type="paragraph" w:customStyle="1" w:styleId="61">
    <w:name w:val="列出段落1"/>
    <w:basedOn w:val="1"/>
    <w:qFormat/>
    <w:uiPriority w:val="0"/>
    <w:pPr>
      <w:ind w:firstLine="420" w:firstLineChars="200"/>
    </w:pPr>
    <w:rPr>
      <w:rFonts w:ascii="Calibri" w:hAnsi="Calibri" w:eastAsia="微软雅黑" w:cs="Times New Roman"/>
      <w:szCs w:val="21"/>
    </w:rPr>
  </w:style>
  <w:style w:type="paragraph" w:customStyle="1" w:styleId="62">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3">
    <w:name w:val="纯文本 Char"/>
    <w:qFormat/>
    <w:uiPriority w:val="0"/>
    <w:rPr>
      <w:rFonts w:ascii="Calibri" w:hAnsi="Calibri"/>
      <w:kern w:val="2"/>
      <w:sz w:val="24"/>
      <w:szCs w:val="24"/>
    </w:rPr>
  </w:style>
  <w:style w:type="paragraph" w:customStyle="1" w:styleId="64">
    <w:name w:val="Normal_0"/>
    <w:qFormat/>
    <w:uiPriority w:val="0"/>
    <w:rPr>
      <w:rFonts w:ascii="黑体" w:hAnsi="黑体" w:eastAsia="黑体" w:cs="Times New Roman"/>
      <w:b/>
      <w:sz w:val="32"/>
      <w:szCs w:val="24"/>
      <w:lang w:val="en-US" w:eastAsia="zh-CN" w:bidi="ar-SA"/>
    </w:rPr>
  </w:style>
  <w:style w:type="paragraph" w:customStyle="1" w:styleId="65">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7">
    <w:name w:val="font31"/>
    <w:basedOn w:val="29"/>
    <w:qFormat/>
    <w:uiPriority w:val="0"/>
    <w:rPr>
      <w:rFonts w:hint="eastAsia" w:ascii="宋体" w:hAnsi="宋体" w:eastAsia="宋体" w:cs="宋体"/>
      <w:color w:val="000000"/>
      <w:sz w:val="24"/>
      <w:szCs w:val="24"/>
      <w:u w:val="none"/>
    </w:rPr>
  </w:style>
  <w:style w:type="character" w:customStyle="1" w:styleId="68">
    <w:name w:val="font21"/>
    <w:basedOn w:val="29"/>
    <w:qFormat/>
    <w:uiPriority w:val="0"/>
    <w:rPr>
      <w:rFonts w:hint="eastAsia" w:ascii="宋体" w:hAnsi="宋体" w:eastAsia="宋体" w:cs="宋体"/>
      <w:color w:val="FF0000"/>
      <w:sz w:val="24"/>
      <w:szCs w:val="24"/>
      <w:u w:val="none"/>
    </w:rPr>
  </w:style>
  <w:style w:type="character" w:customStyle="1" w:styleId="69">
    <w:name w:val="Hyperlink.0"/>
    <w:qFormat/>
    <w:uiPriority w:val="0"/>
    <w:rPr>
      <w:lang w:val="zh-TW" w:eastAsia="zh-TW"/>
    </w:rPr>
  </w:style>
  <w:style w:type="character" w:customStyle="1" w:styleId="70">
    <w:name w:val="font11"/>
    <w:basedOn w:val="29"/>
    <w:qFormat/>
    <w:uiPriority w:val="0"/>
    <w:rPr>
      <w:rFonts w:hint="default" w:ascii="Calibri" w:hAnsi="Calibri" w:cs="Calibri"/>
      <w:color w:val="000000"/>
      <w:sz w:val="21"/>
      <w:szCs w:val="21"/>
      <w:u w:val="none"/>
    </w:rPr>
  </w:style>
  <w:style w:type="character" w:customStyle="1" w:styleId="71">
    <w:name w:val="font51"/>
    <w:basedOn w:val="29"/>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ra</Company>
  <Pages>53</Pages>
  <Words>13205</Words>
  <Characters>13723</Characters>
  <Lines>264</Lines>
  <Paragraphs>74</Paragraphs>
  <TotalTime>14</TotalTime>
  <ScaleCrop>false</ScaleCrop>
  <LinksUpToDate>false</LinksUpToDate>
  <CharactersWithSpaces>13811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2024-04-09T01:07:00Z</dcterms:created>
  <dc:creator>zyz</dc:creator>
  <cp:lastModifiedBy>ycjc</cp:lastModifiedBy>
  <cp:lastPrinted>2022-09-06T06:09:00Z</cp:lastPrinted>
  <dcterms:modified xsi:type="dcterms:W3CDTF">2025-09-18T08:39:17Z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A417DC54CF944A8C8ACE3CD832B4EC19</vt:lpwstr>
  </property>
  <property fmtid="{D5CDD505-2E9C-101B-9397-08002B2CF9AE}" pid="4" name="KSOTemplateDocerSaveRecord">
    <vt:lpwstr>eyJoZGlkIjoiMTY4NjBkNGJhODk4NmQzYzQyNjFlYWE4N2ZmMDE0M2UiLCJ1c2VySWQiOiI3MTM0MDAwMDYifQ==</vt:lpwstr>
  </property>
</Properties>
</file>