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color w:val="auto"/>
          <w:sz w:val="52"/>
          <w:highlight w:val="none"/>
          <w:lang w:eastAsia="zh-CN"/>
        </w:rPr>
      </w:pPr>
    </w:p>
    <w:p>
      <w:pPr>
        <w:jc w:val="center"/>
        <w:rPr>
          <w:rFonts w:hint="eastAsia" w:ascii="宋体" w:hAnsi="宋体" w:eastAsiaTheme="minorEastAsia"/>
          <w:b/>
          <w:bCs/>
          <w:color w:val="auto"/>
          <w:sz w:val="52"/>
          <w:highlight w:val="none"/>
          <w:lang w:eastAsia="zh-CN"/>
        </w:rPr>
      </w:pPr>
      <w:r>
        <w:rPr>
          <w:rFonts w:hint="eastAsia" w:ascii="宋体" w:hAnsi="宋体"/>
          <w:b/>
          <w:bCs/>
          <w:color w:val="auto"/>
          <w:sz w:val="52"/>
          <w:highlight w:val="none"/>
          <w:lang w:eastAsia="zh-CN"/>
        </w:rPr>
        <w:t>宜兴市排水有限公司液压动力站采购项目</w:t>
      </w:r>
    </w:p>
    <w:p>
      <w:pPr>
        <w:jc w:val="center"/>
        <w:rPr>
          <w:rFonts w:ascii="宋体" w:hAnsi="宋体"/>
          <w:b/>
          <w:bCs/>
          <w:color w:val="auto"/>
          <w:sz w:val="52"/>
          <w:highlight w:val="none"/>
        </w:rPr>
      </w:pPr>
    </w:p>
    <w:p>
      <w:pPr>
        <w:jc w:val="center"/>
        <w:rPr>
          <w:rFonts w:hint="eastAsia" w:ascii="黑体" w:hAnsi="黑体" w:eastAsia="黑体"/>
          <w:b/>
          <w:bCs/>
          <w:color w:val="auto"/>
          <w:sz w:val="96"/>
          <w:szCs w:val="96"/>
          <w:highlight w:val="none"/>
        </w:rPr>
      </w:pP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pPr>
        <w:jc w:val="center"/>
        <w:rPr>
          <w:rFonts w:ascii="宋体" w:hAnsi="宋体"/>
          <w:b/>
          <w:bCs/>
          <w:color w:val="auto"/>
          <w:sz w:val="84"/>
          <w:highlight w:val="none"/>
        </w:rPr>
      </w:pPr>
    </w:p>
    <w:p>
      <w:pPr>
        <w:jc w:val="center"/>
        <w:rPr>
          <w:rFonts w:hint="eastAsia" w:ascii="宋体" w:hAnsi="宋体" w:eastAsiaTheme="minorEastAsia"/>
          <w:color w:val="auto"/>
          <w:sz w:val="32"/>
          <w:highlight w:val="none"/>
          <w:lang w:eastAsia="zh-CN"/>
        </w:rPr>
      </w:pPr>
      <w:bookmarkStart w:id="0" w:name="OLE_LINK22"/>
      <w:r>
        <w:rPr>
          <w:rFonts w:hint="eastAsia" w:ascii="宋体" w:hAnsi="宋体"/>
          <w:color w:val="auto"/>
          <w:sz w:val="32"/>
          <w:highlight w:val="none"/>
        </w:rPr>
        <w:t>项目编号：</w:t>
      </w:r>
      <w:r>
        <w:rPr>
          <w:rFonts w:hint="eastAsia" w:ascii="宋体" w:hAnsi="宋体"/>
          <w:color w:val="auto"/>
          <w:sz w:val="32"/>
          <w:highlight w:val="none"/>
          <w:lang w:eastAsia="zh-CN"/>
        </w:rPr>
        <w:t>YXGQ2025236</w:t>
      </w:r>
    </w:p>
    <w:p>
      <w:pPr>
        <w:jc w:val="center"/>
        <w:rPr>
          <w:rFonts w:hint="default" w:ascii="宋体" w:hAnsi="宋体" w:eastAsiaTheme="minorEastAsia"/>
          <w:color w:val="auto"/>
          <w:sz w:val="32"/>
          <w:highlight w:val="none"/>
          <w:lang w:val="en-US" w:eastAsia="zh-CN"/>
        </w:rPr>
      </w:pPr>
      <w:r>
        <w:rPr>
          <w:rFonts w:hint="eastAsia" w:ascii="宋体" w:hAnsi="宋体"/>
          <w:color w:val="auto"/>
          <w:sz w:val="32"/>
          <w:highlight w:val="none"/>
          <w:lang w:val="en-US" w:eastAsia="zh-CN"/>
        </w:rPr>
        <w:t>项目名称：</w:t>
      </w:r>
      <w:bookmarkEnd w:id="0"/>
      <w:r>
        <w:rPr>
          <w:rFonts w:hint="eastAsia" w:ascii="宋体" w:hAnsi="宋体"/>
          <w:color w:val="auto"/>
          <w:sz w:val="32"/>
          <w:highlight w:val="none"/>
          <w:lang w:val="en-US" w:eastAsia="zh-CN"/>
        </w:rPr>
        <w:t>液压动力站采购项目</w:t>
      </w:r>
    </w:p>
    <w:p>
      <w:pPr>
        <w:jc w:val="center"/>
        <w:rPr>
          <w:rFonts w:hint="eastAsia" w:ascii="宋体" w:hAnsi="宋体" w:eastAsiaTheme="minorEastAsia"/>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宜兴市排水有限公司</w:t>
      </w:r>
    </w:p>
    <w:p>
      <w:pPr>
        <w:jc w:val="center"/>
        <w:rPr>
          <w:rFonts w:hint="eastAsia" w:ascii="宋体" w:hAnsi="宋体" w:eastAsiaTheme="minorEastAsia"/>
          <w:color w:val="auto"/>
          <w:sz w:val="32"/>
          <w:highlight w:val="none"/>
          <w:lang w:eastAsia="zh-CN"/>
        </w:rPr>
      </w:pPr>
      <w:r>
        <w:rPr>
          <w:rFonts w:hint="eastAsia" w:ascii="宋体" w:hAnsi="宋体"/>
          <w:color w:val="auto"/>
          <w:sz w:val="32"/>
          <w:highlight w:val="none"/>
          <w:lang w:eastAsia="zh-CN"/>
        </w:rPr>
        <w:t>采购代理机构</w:t>
      </w:r>
      <w:r>
        <w:rPr>
          <w:rFonts w:hint="eastAsia" w:ascii="宋体" w:hAnsi="宋体"/>
          <w:color w:val="auto"/>
          <w:sz w:val="32"/>
          <w:highlight w:val="none"/>
        </w:rPr>
        <w:t>：</w:t>
      </w:r>
      <w:r>
        <w:rPr>
          <w:rFonts w:hint="eastAsia" w:ascii="宋体" w:hAnsi="宋体"/>
          <w:color w:val="auto"/>
          <w:sz w:val="32"/>
          <w:highlight w:val="none"/>
          <w:lang w:eastAsia="zh-CN"/>
        </w:rPr>
        <w:t>江苏恒鸿建设咨询有限公司</w:t>
      </w:r>
    </w:p>
    <w:p>
      <w:pPr>
        <w:jc w:val="center"/>
        <w:rPr>
          <w:rFonts w:ascii="宋体" w:hAnsi="宋体"/>
          <w:color w:val="auto"/>
          <w:sz w:val="32"/>
          <w:highlight w:val="none"/>
        </w:rPr>
      </w:pPr>
      <w:r>
        <w:rPr>
          <w:rFonts w:hint="eastAsia" w:ascii="宋体" w:hAnsi="宋体"/>
          <w:color w:val="auto"/>
          <w:sz w:val="32"/>
          <w:highlight w:val="none"/>
        </w:rPr>
        <w:t>二〇二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九</w:t>
      </w:r>
      <w:r>
        <w:rPr>
          <w:rFonts w:hint="eastAsia" w:ascii="宋体" w:hAnsi="宋体"/>
          <w:color w:val="auto"/>
          <w:sz w:val="32"/>
          <w:highlight w:val="none"/>
        </w:rPr>
        <w:t>月</w:t>
      </w:r>
    </w:p>
    <w:p>
      <w:pPr>
        <w:rPr>
          <w:color w:val="auto"/>
          <w:highlight w:val="none"/>
        </w:rPr>
      </w:pPr>
    </w:p>
    <w:p>
      <w:pPr>
        <w:rPr>
          <w:rStyle w:val="27"/>
          <w:color w:val="auto"/>
          <w:highlight w:val="none"/>
        </w:rPr>
        <w:sectPr>
          <w:footerReference r:id="rId5" w:type="first"/>
          <w:headerReference r:id="rId3" w:type="default"/>
          <w:footerReference r:id="rId4" w:type="default"/>
          <w:pgSz w:w="11906" w:h="16838"/>
          <w:pgMar w:top="1134" w:right="1134" w:bottom="1134" w:left="1134" w:header="851" w:footer="992" w:gutter="0"/>
          <w:pgNumType w:fmt="decimal" w:start="1"/>
          <w:cols w:space="720" w:num="1"/>
          <w:docGrid w:type="lines" w:linePitch="312" w:charSpace="0"/>
        </w:sectPr>
      </w:pPr>
    </w:p>
    <w:p>
      <w:pPr>
        <w:rPr>
          <w:rStyle w:val="27"/>
          <w:rFonts w:eastAsia="黑体"/>
          <w:bCs/>
          <w:color w:val="auto"/>
          <w:sz w:val="48"/>
          <w:highlight w:val="none"/>
        </w:rPr>
      </w:pPr>
    </w:p>
    <w:p>
      <w:pPr>
        <w:jc w:val="center"/>
        <w:rPr>
          <w:rStyle w:val="27"/>
          <w:rFonts w:eastAsia="黑体"/>
          <w:bCs/>
          <w:color w:val="auto"/>
          <w:sz w:val="48"/>
          <w:highlight w:val="none"/>
        </w:rPr>
      </w:pPr>
      <w:r>
        <w:rPr>
          <w:rStyle w:val="27"/>
          <w:rFonts w:hint="eastAsia" w:eastAsia="黑体"/>
          <w:bCs/>
          <w:color w:val="auto"/>
          <w:sz w:val="48"/>
          <w:highlight w:val="none"/>
        </w:rPr>
        <w:t>目录</w:t>
      </w:r>
    </w:p>
    <w:p>
      <w:pPr>
        <w:jc w:val="center"/>
        <w:rPr>
          <w:rFonts w:ascii="黑体" w:eastAsia="黑体"/>
          <w:bCs/>
          <w:color w:val="auto"/>
          <w:sz w:val="30"/>
          <w:highlight w:val="none"/>
        </w:rPr>
      </w:pPr>
    </w:p>
    <w:p>
      <w:pPr>
        <w:jc w:val="center"/>
        <w:rPr>
          <w:rFonts w:ascii="黑体" w:eastAsia="黑体"/>
          <w:bCs/>
          <w:color w:val="auto"/>
          <w:sz w:val="44"/>
          <w:highlight w:val="none"/>
        </w:rPr>
      </w:pPr>
    </w:p>
    <w:p>
      <w:pPr>
        <w:pStyle w:val="20"/>
        <w:tabs>
          <w:tab w:val="right" w:leader="dot" w:pos="9629"/>
        </w:tabs>
        <w:spacing w:line="360" w:lineRule="auto"/>
        <w:rPr>
          <w:rFonts w:ascii="Calibri" w:hAnsi="Calibri"/>
          <w:color w:val="auto"/>
          <w:sz w:val="32"/>
          <w:szCs w:val="22"/>
          <w:highlight w:val="none"/>
        </w:rPr>
      </w:pPr>
      <w:r>
        <w:rPr>
          <w:rFonts w:hint="eastAsia" w:ascii="黑体" w:hAnsi="黑体" w:eastAsia="黑体" w:cs="黑体"/>
          <w:color w:val="auto"/>
          <w:sz w:val="48"/>
          <w:szCs w:val="32"/>
          <w:highlight w:val="none"/>
        </w:rPr>
        <w:fldChar w:fldCharType="begin"/>
      </w:r>
      <w:r>
        <w:rPr>
          <w:rFonts w:hint="eastAsia" w:ascii="黑体" w:hAnsi="黑体" w:eastAsia="黑体" w:cs="黑体"/>
          <w:color w:val="auto"/>
          <w:sz w:val="48"/>
          <w:szCs w:val="32"/>
          <w:highlight w:val="none"/>
        </w:rPr>
        <w:instrText xml:space="preserve">TOC \o "1-1" \h  \u </w:instrText>
      </w:r>
      <w:r>
        <w:rPr>
          <w:rFonts w:hint="eastAsia" w:ascii="黑体" w:hAnsi="黑体" w:eastAsia="黑体" w:cs="黑体"/>
          <w:color w:val="auto"/>
          <w:sz w:val="48"/>
          <w:szCs w:val="32"/>
          <w:highlight w:val="none"/>
        </w:rPr>
        <w:fldChar w:fldCharType="separate"/>
      </w:r>
      <w:r>
        <w:rPr>
          <w:color w:val="auto"/>
          <w:highlight w:val="none"/>
        </w:rPr>
        <w:fldChar w:fldCharType="begin"/>
      </w:r>
      <w:r>
        <w:rPr>
          <w:color w:val="auto"/>
          <w:highlight w:val="none"/>
        </w:rPr>
        <w:instrText xml:space="preserve"> HYPERLINK \l "_Toc64637564" </w:instrText>
      </w:r>
      <w:r>
        <w:rPr>
          <w:color w:val="auto"/>
          <w:highlight w:val="none"/>
        </w:rPr>
        <w:fldChar w:fldCharType="separate"/>
      </w:r>
      <w:r>
        <w:rPr>
          <w:rStyle w:val="28"/>
          <w:rFonts w:hint="eastAsia" w:ascii="黑体" w:hAnsi="黑体" w:eastAsia="黑体"/>
          <w:color w:val="auto"/>
          <w:sz w:val="32"/>
          <w:highlight w:val="none"/>
        </w:rPr>
        <w:t>第一章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投标邀请函</w:t>
      </w:r>
      <w:r>
        <w:rPr>
          <w:color w:val="auto"/>
          <w:sz w:val="32"/>
          <w:highlight w:val="none"/>
        </w:rPr>
        <w:tab/>
      </w:r>
      <w:r>
        <w:rPr>
          <w:color w:val="auto"/>
          <w:sz w:val="32"/>
          <w:highlight w:val="none"/>
        </w:rPr>
        <w:fldChar w:fldCharType="begin"/>
      </w:r>
      <w:r>
        <w:rPr>
          <w:color w:val="auto"/>
          <w:sz w:val="32"/>
          <w:highlight w:val="none"/>
        </w:rPr>
        <w:instrText xml:space="preserve"> PAGEREF _Toc64637564 \h </w:instrText>
      </w:r>
      <w:r>
        <w:rPr>
          <w:color w:val="auto"/>
          <w:sz w:val="32"/>
          <w:highlight w:val="none"/>
        </w:rPr>
        <w:fldChar w:fldCharType="separate"/>
      </w:r>
      <w:r>
        <w:rPr>
          <w:color w:val="auto"/>
          <w:sz w:val="32"/>
          <w:highlight w:val="none"/>
        </w:rPr>
        <w:t>3</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"_Toc64637565" </w:instrText>
      </w:r>
      <w:r>
        <w:rPr>
          <w:color w:val="auto"/>
          <w:highlight w:val="none"/>
        </w:rPr>
        <w:fldChar w:fldCharType="separate"/>
      </w:r>
      <w:r>
        <w:rPr>
          <w:rStyle w:val="28"/>
          <w:rFonts w:hint="eastAsia" w:ascii="黑体" w:hAnsi="黑体" w:eastAsia="黑体"/>
          <w:color w:val="auto"/>
          <w:sz w:val="32"/>
          <w:highlight w:val="none"/>
        </w:rPr>
        <w:t>第二章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投标人须知</w:t>
      </w:r>
      <w:r>
        <w:rPr>
          <w:color w:val="auto"/>
          <w:sz w:val="32"/>
          <w:highlight w:val="none"/>
        </w:rPr>
        <w:tab/>
      </w:r>
      <w:r>
        <w:rPr>
          <w:color w:val="auto"/>
          <w:sz w:val="32"/>
          <w:highlight w:val="none"/>
        </w:rPr>
        <w:fldChar w:fldCharType="begin"/>
      </w:r>
      <w:r>
        <w:rPr>
          <w:color w:val="auto"/>
          <w:sz w:val="32"/>
          <w:highlight w:val="none"/>
        </w:rPr>
        <w:instrText xml:space="preserve"> PAGEREF _Toc64637565 \h </w:instrText>
      </w:r>
      <w:r>
        <w:rPr>
          <w:color w:val="auto"/>
          <w:sz w:val="32"/>
          <w:highlight w:val="none"/>
        </w:rPr>
        <w:fldChar w:fldCharType="separate"/>
      </w:r>
      <w:r>
        <w:rPr>
          <w:color w:val="auto"/>
          <w:sz w:val="32"/>
          <w:highlight w:val="none"/>
        </w:rPr>
        <w:t>5</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"_Toc64637566" </w:instrText>
      </w:r>
      <w:r>
        <w:rPr>
          <w:color w:val="auto"/>
          <w:highlight w:val="none"/>
        </w:rPr>
        <w:fldChar w:fldCharType="separate"/>
      </w:r>
      <w:r>
        <w:rPr>
          <w:rStyle w:val="28"/>
          <w:rFonts w:hint="eastAsia" w:ascii="黑体" w:hAnsi="黑体" w:eastAsia="黑体"/>
          <w:color w:val="auto"/>
          <w:sz w:val="32"/>
          <w:highlight w:val="none"/>
        </w:rPr>
        <w:t>第三章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评标方法和标准</w:t>
      </w:r>
      <w:r>
        <w:rPr>
          <w:color w:val="auto"/>
          <w:sz w:val="32"/>
          <w:highlight w:val="none"/>
        </w:rPr>
        <w:tab/>
      </w:r>
      <w:r>
        <w:rPr>
          <w:color w:val="auto"/>
          <w:sz w:val="32"/>
          <w:highlight w:val="none"/>
        </w:rPr>
        <w:fldChar w:fldCharType="begin"/>
      </w:r>
      <w:r>
        <w:rPr>
          <w:color w:val="auto"/>
          <w:sz w:val="32"/>
          <w:highlight w:val="none"/>
        </w:rPr>
        <w:instrText xml:space="preserve"> PAGEREF _Toc64637566 \h </w:instrText>
      </w:r>
      <w:r>
        <w:rPr>
          <w:color w:val="auto"/>
          <w:sz w:val="32"/>
          <w:highlight w:val="none"/>
        </w:rPr>
        <w:fldChar w:fldCharType="separate"/>
      </w:r>
      <w:r>
        <w:rPr>
          <w:color w:val="auto"/>
          <w:sz w:val="32"/>
          <w:highlight w:val="none"/>
        </w:rPr>
        <w:t>14</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"_Toc64637567" </w:instrText>
      </w:r>
      <w:r>
        <w:rPr>
          <w:color w:val="auto"/>
          <w:highlight w:val="none"/>
        </w:rPr>
        <w:fldChar w:fldCharType="separate"/>
      </w:r>
      <w:r>
        <w:rPr>
          <w:rStyle w:val="28"/>
          <w:rFonts w:hint="eastAsia" w:ascii="黑体" w:hAnsi="黑体" w:eastAsia="黑体"/>
          <w:color w:val="auto"/>
          <w:sz w:val="32"/>
          <w:highlight w:val="none"/>
        </w:rPr>
        <w:t>第四章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项目技术要求和有关说明</w:t>
      </w:r>
      <w:r>
        <w:rPr>
          <w:color w:val="auto"/>
          <w:sz w:val="32"/>
          <w:highlight w:val="none"/>
        </w:rPr>
        <w:tab/>
      </w:r>
      <w:r>
        <w:rPr>
          <w:color w:val="auto"/>
          <w:sz w:val="32"/>
          <w:highlight w:val="none"/>
        </w:rPr>
        <w:fldChar w:fldCharType="begin"/>
      </w:r>
      <w:r>
        <w:rPr>
          <w:color w:val="auto"/>
          <w:sz w:val="32"/>
          <w:highlight w:val="none"/>
        </w:rPr>
        <w:instrText xml:space="preserve"> PAGEREF _Toc64637567 \h </w:instrText>
      </w:r>
      <w:r>
        <w:rPr>
          <w:color w:val="auto"/>
          <w:sz w:val="32"/>
          <w:highlight w:val="none"/>
        </w:rPr>
        <w:fldChar w:fldCharType="separate"/>
      </w:r>
      <w:r>
        <w:rPr>
          <w:color w:val="auto"/>
          <w:sz w:val="32"/>
          <w:highlight w:val="none"/>
        </w:rPr>
        <w:t>14</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"_Toc64637568" </w:instrText>
      </w:r>
      <w:r>
        <w:rPr>
          <w:color w:val="auto"/>
          <w:highlight w:val="none"/>
        </w:rPr>
        <w:fldChar w:fldCharType="separate"/>
      </w:r>
      <w:r>
        <w:rPr>
          <w:rStyle w:val="28"/>
          <w:rFonts w:hint="eastAsia" w:ascii="黑体" w:hAnsi="黑体" w:eastAsia="黑体"/>
          <w:color w:val="auto"/>
          <w:sz w:val="32"/>
          <w:highlight w:val="none"/>
        </w:rPr>
        <w:t>第六章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合同条款</w:t>
      </w:r>
      <w:r>
        <w:rPr>
          <w:color w:val="auto"/>
          <w:sz w:val="32"/>
          <w:highlight w:val="none"/>
        </w:rPr>
        <w:tab/>
      </w:r>
      <w:r>
        <w:rPr>
          <w:rFonts w:hint="eastAsia"/>
          <w:color w:val="auto"/>
          <w:sz w:val="32"/>
          <w:highlight w:val="none"/>
        </w:rPr>
        <w:t>28</w:t>
      </w:r>
      <w:r>
        <w:rPr>
          <w:rFonts w:hint="eastAsia"/>
          <w:color w:val="auto"/>
          <w:sz w:val="32"/>
          <w:highlight w:val="none"/>
        </w:rPr>
        <w:fldChar w:fldCharType="end"/>
      </w:r>
    </w:p>
    <w:p>
      <w:pPr>
        <w:pStyle w:val="20"/>
        <w:tabs>
          <w:tab w:val="right" w:leader="dot" w:pos="9629"/>
        </w:tabs>
        <w:spacing w:line="360" w:lineRule="auto"/>
        <w:rPr>
          <w:rFonts w:hint="eastAsia" w:ascii="Calibri" w:hAnsi="Calibri" w:eastAsia="宋体"/>
          <w:color w:val="auto"/>
          <w:sz w:val="32"/>
          <w:szCs w:val="22"/>
          <w:highlight w:val="none"/>
          <w:lang w:val="en-US" w:eastAsia="zh-CN"/>
        </w:rPr>
      </w:pPr>
      <w:r>
        <w:rPr>
          <w:color w:val="auto"/>
          <w:highlight w:val="none"/>
        </w:rPr>
        <w:fldChar w:fldCharType="begin"/>
      </w:r>
      <w:r>
        <w:rPr>
          <w:color w:val="auto"/>
          <w:highlight w:val="none"/>
        </w:rPr>
        <w:instrText xml:space="preserve"> HYPERLINK \l "_Toc64637570" </w:instrText>
      </w:r>
      <w:r>
        <w:rPr>
          <w:color w:val="auto"/>
          <w:highlight w:val="none"/>
        </w:rPr>
        <w:fldChar w:fldCharType="separate"/>
      </w:r>
      <w:r>
        <w:rPr>
          <w:rStyle w:val="28"/>
          <w:rFonts w:hint="eastAsia" w:ascii="黑体" w:hAnsi="黑体" w:eastAsia="黑体"/>
          <w:color w:val="auto"/>
          <w:sz w:val="32"/>
          <w:highlight w:val="none"/>
        </w:rPr>
        <w:t>第七章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投标文件（格式）</w:t>
      </w:r>
      <w:r>
        <w:rPr>
          <w:color w:val="auto"/>
          <w:sz w:val="32"/>
          <w:highlight w:val="none"/>
        </w:rPr>
        <w:tab/>
      </w:r>
      <w:r>
        <w:rPr>
          <w:rFonts w:hint="eastAsia"/>
          <w:color w:val="auto"/>
          <w:sz w:val="32"/>
          <w:highlight w:val="none"/>
          <w:lang w:val="en-US" w:eastAsia="zh-CN"/>
        </w:rPr>
        <w:t>2</w:t>
      </w:r>
      <w:r>
        <w:rPr>
          <w:color w:val="auto"/>
          <w:sz w:val="32"/>
          <w:highlight w:val="none"/>
        </w:rPr>
        <w:fldChar w:fldCharType="end"/>
      </w:r>
      <w:r>
        <w:rPr>
          <w:rFonts w:hint="eastAsia"/>
          <w:color w:val="auto"/>
          <w:sz w:val="32"/>
          <w:highlight w:val="none"/>
          <w:lang w:val="en-US" w:eastAsia="zh-CN"/>
        </w:rPr>
        <w:t>9</w:t>
      </w:r>
    </w:p>
    <w:p>
      <w:pPr>
        <w:spacing w:line="360" w:lineRule="auto"/>
        <w:rPr>
          <w:rFonts w:ascii="黑体" w:hAnsi="黑体" w:eastAsia="黑体"/>
          <w:color w:val="auto"/>
          <w:sz w:val="28"/>
          <w:highlight w:val="none"/>
        </w:rPr>
      </w:pPr>
      <w:r>
        <w:rPr>
          <w:rFonts w:hint="eastAsia" w:ascii="黑体" w:hAnsi="黑体" w:eastAsia="黑体" w:cs="黑体"/>
          <w:color w:val="auto"/>
          <w:sz w:val="48"/>
          <w:szCs w:val="32"/>
          <w:highlight w:val="none"/>
        </w:rPr>
        <w:fldChar w:fldCharType="end"/>
      </w:r>
      <w:bookmarkStart w:id="1" w:name="_Toc30211"/>
    </w:p>
    <w:p>
      <w:pPr>
        <w:jc w:val="center"/>
        <w:outlineLvl w:val="0"/>
        <w:rPr>
          <w:rFonts w:ascii="黑体" w:hAnsi="黑体" w:eastAsia="黑体"/>
          <w:color w:val="auto"/>
          <w:sz w:val="28"/>
          <w:highlight w:val="none"/>
        </w:rPr>
        <w:sectPr>
          <w:footerReference r:id="rId8" w:type="first"/>
          <w:headerReference r:id="rId6" w:type="default"/>
          <w:footerReference r:id="rId7" w:type="default"/>
          <w:pgSz w:w="11907" w:h="16840"/>
          <w:pgMar w:top="1134" w:right="1134" w:bottom="1134" w:left="1134" w:header="851" w:footer="850" w:gutter="0"/>
          <w:pgNumType w:fmt="decimal"/>
          <w:cols w:space="720" w:num="1"/>
          <w:titlePg/>
          <w:docGrid w:linePitch="462" w:charSpace="0"/>
        </w:sectPr>
      </w:pPr>
    </w:p>
    <w:p>
      <w:pPr>
        <w:jc w:val="center"/>
        <w:outlineLvl w:val="0"/>
        <w:rPr>
          <w:rFonts w:ascii="黑体" w:hAnsi="黑体" w:eastAsia="黑体"/>
          <w:color w:val="auto"/>
          <w:sz w:val="28"/>
          <w:highlight w:val="none"/>
        </w:rPr>
      </w:pPr>
      <w:bookmarkStart w:id="2" w:name="_Toc64637564"/>
      <w:r>
        <w:rPr>
          <w:rFonts w:hint="eastAsia" w:ascii="黑体" w:hAnsi="黑体" w:eastAsia="黑体"/>
          <w:color w:val="auto"/>
          <w:sz w:val="28"/>
          <w:highlight w:val="none"/>
        </w:rPr>
        <w:t>第一章 投标邀请函</w:t>
      </w:r>
      <w:bookmarkEnd w:id="1"/>
      <w:bookmarkEnd w:id="2"/>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eastAsia="zh-CN"/>
        </w:rPr>
        <w:t>江苏恒鸿建设咨询有限公司</w:t>
      </w:r>
      <w:r>
        <w:rPr>
          <w:rFonts w:hint="eastAsia" w:ascii="宋体" w:hAnsi="宋体"/>
          <w:bCs/>
          <w:color w:val="auto"/>
          <w:sz w:val="24"/>
          <w:szCs w:val="24"/>
          <w:highlight w:val="none"/>
        </w:rPr>
        <w:t>受</w:t>
      </w:r>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委托，就</w:t>
      </w:r>
      <w:r>
        <w:rPr>
          <w:rFonts w:hint="eastAsia" w:ascii="宋体" w:hAnsi="宋体"/>
          <w:color w:val="auto"/>
          <w:sz w:val="24"/>
          <w:szCs w:val="28"/>
          <w:highlight w:val="none"/>
          <w:lang w:eastAsia="zh-CN"/>
        </w:rPr>
        <w:t>液压动力站采购项目</w:t>
      </w:r>
      <w:r>
        <w:rPr>
          <w:rFonts w:hint="eastAsia" w:ascii="宋体" w:hAnsi="宋体"/>
          <w:bCs/>
          <w:color w:val="auto"/>
          <w:sz w:val="24"/>
          <w:szCs w:val="24"/>
          <w:highlight w:val="none"/>
        </w:rPr>
        <w:t>组织采购，欢迎你单位参加投标并提请注意下列附表中的相关事项：</w:t>
      </w:r>
    </w:p>
    <w:tbl>
      <w:tblPr>
        <w:tblStyle w:val="30"/>
        <w:tblW w:w="100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4443"/>
        <w:gridCol w:w="5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 w:hRule="atLeast"/>
        </w:trPr>
        <w:tc>
          <w:tcPr>
            <w:tcW w:w="567" w:type="dxa"/>
          </w:tcPr>
          <w:p>
            <w:pPr>
              <w:jc w:val="center"/>
              <w:rPr>
                <w:rFonts w:ascii="宋体" w:hAnsi="宋体"/>
                <w:bCs/>
                <w:color w:val="auto"/>
                <w:sz w:val="24"/>
                <w:szCs w:val="24"/>
                <w:highlight w:val="none"/>
              </w:rPr>
            </w:pPr>
            <w:bookmarkStart w:id="3" w:name="_Toc29543"/>
            <w:r>
              <w:rPr>
                <w:rFonts w:hint="eastAsia" w:ascii="宋体" w:hAnsi="宋体"/>
                <w:bCs/>
                <w:color w:val="auto"/>
                <w:sz w:val="24"/>
                <w:szCs w:val="24"/>
                <w:highlight w:val="none"/>
              </w:rPr>
              <w:t>序号</w:t>
            </w:r>
          </w:p>
        </w:tc>
        <w:tc>
          <w:tcPr>
            <w:tcW w:w="9452" w:type="dxa"/>
            <w:gridSpan w:val="2"/>
          </w:tcPr>
          <w:p>
            <w:pPr>
              <w:jc w:val="center"/>
              <w:rPr>
                <w:rFonts w:ascii="宋体" w:hAnsi="宋体"/>
                <w:bCs/>
                <w:color w:val="auto"/>
                <w:sz w:val="24"/>
                <w:szCs w:val="24"/>
                <w:highlight w:val="none"/>
              </w:rPr>
            </w:pPr>
            <w:r>
              <w:rPr>
                <w:rFonts w:hint="eastAsia" w:ascii="宋体" w:hAnsi="宋体"/>
                <w:bCs/>
                <w:color w:val="auto"/>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567" w:type="dxa"/>
            <w:vAlign w:val="center"/>
          </w:tcPr>
          <w:p>
            <w:pPr>
              <w:jc w:val="center"/>
              <w:rPr>
                <w:rFonts w:ascii="宋体" w:hAnsi="宋体"/>
                <w:bCs/>
                <w:color w:val="auto"/>
                <w:sz w:val="24"/>
                <w:szCs w:val="24"/>
                <w:highlight w:val="none"/>
              </w:rPr>
            </w:pPr>
            <w:r>
              <w:rPr>
                <w:rFonts w:ascii="宋体" w:hAnsi="宋体"/>
                <w:bCs/>
                <w:color w:val="auto"/>
                <w:sz w:val="24"/>
                <w:szCs w:val="24"/>
                <w:highlight w:val="none"/>
              </w:rPr>
              <w:t>1</w:t>
            </w:r>
          </w:p>
        </w:tc>
        <w:tc>
          <w:tcPr>
            <w:tcW w:w="9452" w:type="dxa"/>
            <w:gridSpan w:val="2"/>
          </w:tcPr>
          <w:p>
            <w:pPr>
              <w:jc w:val="left"/>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宜兴市排水有限公司</w:t>
            </w:r>
          </w:p>
          <w:p>
            <w:pPr>
              <w:jc w:val="left"/>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rPr>
              <w:t>采购代理机构：</w:t>
            </w:r>
            <w:r>
              <w:rPr>
                <w:rFonts w:hint="eastAsia" w:ascii="宋体" w:hAnsi="宋体"/>
                <w:bCs/>
                <w:color w:val="auto"/>
                <w:sz w:val="24"/>
                <w:szCs w:val="24"/>
                <w:highlight w:val="none"/>
                <w:lang w:eastAsia="zh-CN"/>
              </w:rPr>
              <w:t>江苏恒鸿建设咨询有限公司</w:t>
            </w:r>
          </w:p>
          <w:p>
            <w:pPr>
              <w:jc w:val="left"/>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rPr>
              <w:t>项目名称：</w:t>
            </w:r>
            <w:bookmarkStart w:id="4" w:name="OLE_LINK15"/>
            <w:r>
              <w:rPr>
                <w:rFonts w:hint="eastAsia" w:ascii="宋体" w:hAnsi="宋体"/>
                <w:bCs/>
                <w:color w:val="auto"/>
                <w:sz w:val="24"/>
                <w:szCs w:val="24"/>
                <w:highlight w:val="none"/>
                <w:lang w:eastAsia="zh-CN"/>
              </w:rPr>
              <w:t>液压动力站采购项目</w:t>
            </w:r>
            <w:bookmarkEnd w:id="4"/>
          </w:p>
          <w:p>
            <w:pPr>
              <w:jc w:val="left"/>
              <w:rPr>
                <w:rFonts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YXGQ2025236</w:t>
            </w:r>
            <w:r>
              <w:rPr>
                <w:rFonts w:hint="eastAsia" w:ascii="宋体" w:hAnsi="宋体"/>
                <w:bCs/>
                <w:color w:val="auto"/>
                <w:sz w:val="24"/>
                <w:szCs w:val="24"/>
                <w:highlight w:val="none"/>
              </w:rPr>
              <w:t xml:space="preserve">  </w:t>
            </w:r>
          </w:p>
          <w:p>
            <w:pPr>
              <w:jc w:val="left"/>
              <w:rPr>
                <w:rFonts w:ascii="宋体" w:hAnsi="宋体"/>
                <w:bCs/>
                <w:color w:val="auto"/>
                <w:sz w:val="24"/>
                <w:szCs w:val="24"/>
                <w:highlight w:val="none"/>
              </w:rPr>
            </w:pPr>
            <w:r>
              <w:rPr>
                <w:rFonts w:hint="eastAsia" w:ascii="宋体" w:hAnsi="宋体"/>
                <w:bCs/>
                <w:color w:val="auto"/>
                <w:sz w:val="24"/>
                <w:szCs w:val="24"/>
                <w:highlight w:val="none"/>
              </w:rPr>
              <w:t>评标方法：综合评分法</w:t>
            </w:r>
            <w:r>
              <w:rPr>
                <w:rFonts w:hint="eastAsia" w:ascii="宋体" w:hAnsi="宋体" w:eastAsia="宋体" w:cs="Times New Roman"/>
                <w:bCs/>
                <w:color w:val="auto"/>
                <w:sz w:val="24"/>
                <w:szCs w:val="24"/>
                <w:highlight w:val="none"/>
              </w:rPr>
              <w:t>（市平台公开招标（代理））</w:t>
            </w:r>
          </w:p>
          <w:p>
            <w:pPr>
              <w:jc w:val="left"/>
              <w:rPr>
                <w:rFonts w:ascii="宋体" w:hAnsi="宋体" w:eastAsia="宋体"/>
                <w:bCs/>
                <w:color w:val="auto"/>
                <w:sz w:val="24"/>
                <w:szCs w:val="24"/>
                <w:highlight w:val="none"/>
              </w:rPr>
            </w:pPr>
            <w:bookmarkStart w:id="5" w:name="OLE_LINK3"/>
            <w:r>
              <w:rPr>
                <w:rFonts w:hint="eastAsia" w:ascii="宋体" w:hAnsi="宋体"/>
                <w:bCs/>
                <w:color w:val="auto"/>
                <w:sz w:val="24"/>
                <w:szCs w:val="24"/>
                <w:highlight w:val="none"/>
              </w:rPr>
              <w:t>本项目预算及最高限价为</w:t>
            </w:r>
            <w:bookmarkEnd w:id="5"/>
            <w:r>
              <w:rPr>
                <w:rFonts w:hint="eastAsia" w:ascii="宋体" w:hAnsi="宋体"/>
                <w:bCs/>
                <w:color w:val="auto"/>
                <w:sz w:val="24"/>
                <w:szCs w:val="24"/>
                <w:highlight w:val="none"/>
              </w:rPr>
              <w:t>：</w:t>
            </w:r>
            <w:bookmarkStart w:id="6" w:name="OLE_LINK26"/>
            <w:r>
              <w:rPr>
                <w:rFonts w:hint="eastAsia" w:ascii="宋体"/>
                <w:color w:val="auto"/>
                <w:sz w:val="24"/>
                <w:highlight w:val="none"/>
                <w:lang w:val="en-US" w:eastAsia="zh-CN"/>
              </w:rPr>
              <w:t>70</w:t>
            </w:r>
            <w:r>
              <w:rPr>
                <w:rFonts w:hint="eastAsia" w:ascii="宋体" w:hAnsi="宋体" w:eastAsia="宋体" w:cs="Times New Roman"/>
                <w:bCs/>
                <w:color w:val="auto"/>
                <w:sz w:val="24"/>
                <w:szCs w:val="24"/>
                <w:highlight w:val="none"/>
              </w:rPr>
              <w:t>万元</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8" w:hRule="atLeast"/>
        </w:trPr>
        <w:tc>
          <w:tcPr>
            <w:tcW w:w="567" w:type="dxa"/>
            <w:vMerge w:val="restart"/>
            <w:vAlign w:val="center"/>
          </w:tcPr>
          <w:p>
            <w:pPr>
              <w:jc w:val="center"/>
              <w:rPr>
                <w:rFonts w:ascii="宋体" w:hAnsi="宋体"/>
                <w:bCs/>
                <w:color w:val="auto"/>
                <w:sz w:val="24"/>
                <w:szCs w:val="24"/>
                <w:highlight w:val="none"/>
              </w:rPr>
            </w:pPr>
            <w:r>
              <w:rPr>
                <w:rFonts w:ascii="宋体" w:hAnsi="宋体"/>
                <w:bCs/>
                <w:color w:val="auto"/>
                <w:sz w:val="24"/>
                <w:szCs w:val="24"/>
                <w:highlight w:val="none"/>
              </w:rPr>
              <w:t>2</w:t>
            </w:r>
          </w:p>
        </w:tc>
        <w:tc>
          <w:tcPr>
            <w:tcW w:w="9452" w:type="dxa"/>
            <w:gridSpan w:val="2"/>
          </w:tcPr>
          <w:p>
            <w:pPr>
              <w:pStyle w:val="54"/>
              <w:spacing w:line="276" w:lineRule="auto"/>
              <w:rPr>
                <w:color w:val="auto"/>
                <w:highlight w:val="none"/>
              </w:rPr>
            </w:pPr>
            <w:r>
              <w:rPr>
                <w:rFonts w:hint="eastAsia"/>
                <w:color w:val="auto"/>
                <w:highlight w:val="none"/>
              </w:rPr>
              <w:t>2.1投标人参加本次采购活动</w:t>
            </w:r>
            <w:r>
              <w:rPr>
                <w:rFonts w:hint="eastAsia"/>
                <w:color w:val="auto"/>
                <w:highlight w:val="none"/>
                <w:lang w:val="zh-CN"/>
              </w:rPr>
              <w:t>应具备下列资格条件：</w:t>
            </w:r>
          </w:p>
          <w:p>
            <w:pPr>
              <w:pStyle w:val="54"/>
              <w:spacing w:line="276" w:lineRule="auto"/>
              <w:rPr>
                <w:color w:val="auto"/>
                <w:highlight w:val="none"/>
              </w:rPr>
            </w:pPr>
            <w:r>
              <w:rPr>
                <w:rFonts w:hint="eastAsia"/>
                <w:color w:val="auto"/>
                <w:highlight w:val="none"/>
              </w:rPr>
              <w:t>①</w:t>
            </w:r>
            <w:r>
              <w:rPr>
                <w:rFonts w:hint="eastAsia"/>
                <w:color w:val="auto"/>
                <w:highlight w:val="none"/>
                <w:lang w:val="zh-CN"/>
              </w:rPr>
              <w:t>具有独立承担民事责任的能力；</w:t>
            </w:r>
          </w:p>
          <w:p>
            <w:pPr>
              <w:pStyle w:val="54"/>
              <w:spacing w:line="276" w:lineRule="auto"/>
              <w:rPr>
                <w:color w:val="auto"/>
                <w:highlight w:val="none"/>
              </w:rPr>
            </w:pPr>
            <w:r>
              <w:rPr>
                <w:rFonts w:hint="eastAsia"/>
                <w:color w:val="auto"/>
                <w:highlight w:val="none"/>
              </w:rPr>
              <w:t>②有依法缴纳税收和社会保障资金的良好记录；</w:t>
            </w:r>
          </w:p>
          <w:p>
            <w:pPr>
              <w:pStyle w:val="54"/>
              <w:spacing w:line="276" w:lineRule="auto"/>
              <w:rPr>
                <w:color w:val="auto"/>
                <w:highlight w:val="none"/>
              </w:rPr>
            </w:pPr>
            <w:r>
              <w:rPr>
                <w:rFonts w:hint="eastAsia"/>
                <w:color w:val="auto"/>
                <w:highlight w:val="none"/>
              </w:rPr>
              <w:t>③具有履行合同所必需的设备和专业技术能力；</w:t>
            </w:r>
          </w:p>
          <w:p>
            <w:pPr>
              <w:pStyle w:val="54"/>
              <w:spacing w:line="276" w:lineRule="auto"/>
              <w:rPr>
                <w:color w:val="auto"/>
                <w:highlight w:val="none"/>
              </w:rPr>
            </w:pPr>
            <w:r>
              <w:rPr>
                <w:rFonts w:hint="eastAsia"/>
                <w:color w:val="auto"/>
                <w:highlight w:val="none"/>
              </w:rPr>
              <w:t>④不接受联合体，不接受中标后分包；</w:t>
            </w:r>
          </w:p>
          <w:p>
            <w:pPr>
              <w:pStyle w:val="54"/>
              <w:spacing w:line="276" w:lineRule="auto"/>
              <w:rPr>
                <w:rFonts w:hint="eastAsia"/>
                <w:color w:val="auto"/>
                <w:highlight w:val="none"/>
              </w:rPr>
            </w:pPr>
            <w:r>
              <w:rPr>
                <w:rFonts w:hint="eastAsia"/>
                <w:color w:val="auto"/>
                <w:highlight w:val="none"/>
              </w:rPr>
              <w:t>⑤</w:t>
            </w:r>
            <w:r>
              <w:rPr>
                <w:rFonts w:hint="eastAsia" w:ascii="宋体" w:hAnsi="宋体"/>
                <w:b/>
                <w:color w:val="auto"/>
                <w:sz w:val="24"/>
                <w:szCs w:val="24"/>
                <w:highlight w:val="none"/>
              </w:rPr>
              <w:t>良好的信用记录：</w:t>
            </w:r>
            <w:r>
              <w:rPr>
                <w:rFonts w:hint="eastAsia" w:ascii="宋体" w:hAnsi="宋体"/>
                <w:bCs/>
                <w:color w:val="auto"/>
                <w:sz w:val="24"/>
                <w:szCs w:val="24"/>
                <w:highlight w:val="none"/>
              </w:rPr>
              <w:t>未被“</w:t>
            </w:r>
            <w:r>
              <w:rPr>
                <w:rFonts w:hint="eastAsia" w:ascii="宋体" w:hAnsi="宋体"/>
                <w:bCs/>
                <w:color w:val="auto"/>
                <w:sz w:val="24"/>
                <w:szCs w:val="24"/>
                <w:highlight w:val="none"/>
                <w:lang w:val="zh-CN"/>
              </w:rPr>
              <w:t>信用中国</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（www.creditchina.gov.cn）</w:t>
            </w:r>
            <w:r>
              <w:rPr>
                <w:rFonts w:hint="eastAsia" w:ascii="宋体" w:hAnsi="宋体"/>
                <w:bCs/>
                <w:color w:val="auto"/>
                <w:sz w:val="24"/>
                <w:szCs w:val="24"/>
                <w:highlight w:val="none"/>
                <w:lang w:val="zh-CN"/>
              </w:rPr>
              <w:t>列入失信执行人、重大税收违法案件当事人名单、严重失信主体名单</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或未在</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中国政府采购网</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（www.ccgp.gov.cn）</w:t>
            </w:r>
            <w:r>
              <w:rPr>
                <w:rFonts w:hint="eastAsia" w:ascii="宋体" w:hAnsi="宋体"/>
                <w:bCs/>
                <w:color w:val="auto"/>
                <w:sz w:val="24"/>
                <w:szCs w:val="24"/>
                <w:highlight w:val="none"/>
                <w:lang w:val="zh-CN"/>
              </w:rPr>
              <w:t>被列入政府采购严重违法失信行为记录名单</w:t>
            </w:r>
            <w:r>
              <w:rPr>
                <w:rFonts w:hint="eastAsia" w:hAnsi="宋体"/>
                <w:bCs/>
                <w:color w:val="auto"/>
                <w:sz w:val="24"/>
                <w:szCs w:val="24"/>
                <w:highlight w:val="none"/>
                <w:lang w:val="zh-CN"/>
              </w:rPr>
              <w:t>；</w:t>
            </w:r>
          </w:p>
          <w:p>
            <w:pPr>
              <w:rPr>
                <w:color w:val="auto"/>
                <w:highlight w:val="none"/>
              </w:rPr>
            </w:pPr>
            <w:r>
              <w:rPr>
                <w:rFonts w:hint="eastAsia" w:ascii="宋体" w:hAnsi="Times New Roman" w:eastAsia="宋体" w:cs="Times New Roman"/>
                <w:color w:val="auto"/>
                <w:kern w:val="0"/>
                <w:sz w:val="24"/>
                <w:szCs w:val="20"/>
                <w:highlight w:val="none"/>
                <w:u w:color="000000"/>
                <w:lang w:val="zh-CN" w:eastAsia="zh-CN" w:bidi="ar-SA"/>
              </w:rPr>
              <w:t>⑥</w:t>
            </w:r>
            <w:r>
              <w:rPr>
                <w:rFonts w:hint="eastAsia" w:ascii="宋体" w:hAnsi="Times New Roman" w:eastAsia="宋体" w:cs="Times New Roman"/>
                <w:color w:val="auto"/>
                <w:kern w:val="0"/>
                <w:sz w:val="24"/>
                <w:szCs w:val="20"/>
                <w:highlight w:val="none"/>
                <w:u w:color="000000"/>
                <w:lang w:val="en-US" w:eastAsia="zh-CN" w:bidi="ar-SA"/>
              </w:rPr>
              <w:t>投标保证金</w:t>
            </w:r>
            <w:r>
              <w:rPr>
                <w:rFonts w:hint="eastAsia" w:ascii="宋体" w:hAnsi="Times New Roman" w:eastAsia="宋体" w:cs="Times New Roman"/>
                <w:color w:val="auto"/>
                <w:kern w:val="0"/>
                <w:sz w:val="24"/>
                <w:szCs w:val="20"/>
                <w:highlight w:val="none"/>
                <w:u w:color="000000"/>
                <w:lang w:val="zh-CN" w:eastAsia="zh-CN" w:bidi="ar-SA"/>
              </w:rPr>
              <w:t>交纳证明复印件（银行转账记录）</w:t>
            </w:r>
            <w:r>
              <w:rPr>
                <w:rFonts w:hint="eastAsia" w:ascii="宋体" w:hAnsi="Times New Roman" w:eastAsia="宋体" w:cs="Times New Roman"/>
                <w:color w:val="auto"/>
                <w:kern w:val="0"/>
                <w:sz w:val="24"/>
                <w:szCs w:val="20"/>
                <w:highlight w:val="none"/>
                <w:u w:color="00000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1" w:hRule="atLeast"/>
        </w:trPr>
        <w:tc>
          <w:tcPr>
            <w:tcW w:w="567" w:type="dxa"/>
            <w:vMerge w:val="continue"/>
            <w:vAlign w:val="center"/>
          </w:tcPr>
          <w:p>
            <w:pPr>
              <w:spacing w:line="240" w:lineRule="atLeast"/>
              <w:rPr>
                <w:color w:val="auto"/>
                <w:highlight w:val="none"/>
              </w:rPr>
            </w:pPr>
          </w:p>
        </w:tc>
        <w:tc>
          <w:tcPr>
            <w:tcW w:w="9452" w:type="dxa"/>
            <w:gridSpan w:val="2"/>
          </w:tcPr>
          <w:p>
            <w:pPr>
              <w:pStyle w:val="54"/>
              <w:spacing w:line="276" w:lineRule="auto"/>
              <w:rPr>
                <w:color w:val="auto"/>
                <w:highlight w:val="none"/>
                <w:lang w:val="zh-CN"/>
              </w:rPr>
            </w:pPr>
            <w:r>
              <w:rPr>
                <w:rFonts w:hint="eastAsia"/>
                <w:color w:val="auto"/>
                <w:highlight w:val="none"/>
                <w:lang w:val="zh-CN"/>
              </w:rPr>
              <w:t>2.</w:t>
            </w:r>
            <w:r>
              <w:rPr>
                <w:rFonts w:hint="eastAsia"/>
                <w:color w:val="auto"/>
                <w:highlight w:val="none"/>
              </w:rPr>
              <w:t>2</w:t>
            </w:r>
            <w:r>
              <w:rPr>
                <w:rFonts w:hint="eastAsia"/>
                <w:color w:val="auto"/>
                <w:highlight w:val="none"/>
                <w:lang w:val="zh-CN"/>
              </w:rPr>
              <w:t>拒绝下述供应商参加本次采购活动：</w:t>
            </w:r>
          </w:p>
          <w:p>
            <w:pPr>
              <w:autoSpaceDE w:val="0"/>
              <w:autoSpaceDN w:val="0"/>
              <w:adjustRightInd w:val="0"/>
              <w:rPr>
                <w:rFonts w:ascii="宋体" w:hAnsi="宋体"/>
                <w:bCs/>
                <w:color w:val="auto"/>
                <w:sz w:val="24"/>
                <w:szCs w:val="21"/>
                <w:highlight w:val="none"/>
              </w:rPr>
            </w:pPr>
            <w:r>
              <w:rPr>
                <w:rFonts w:hint="eastAsia" w:ascii="宋体" w:hAnsi="宋体" w:cs="宋体"/>
                <w:bCs/>
                <w:color w:val="auto"/>
                <w:sz w:val="24"/>
                <w:szCs w:val="21"/>
                <w:highlight w:val="none"/>
              </w:rPr>
              <w:t>①</w:t>
            </w:r>
            <w:r>
              <w:rPr>
                <w:rFonts w:hint="eastAsia" w:ascii="宋体" w:hAnsi="宋体"/>
                <w:bCs/>
                <w:color w:val="auto"/>
                <w:sz w:val="24"/>
                <w:szCs w:val="21"/>
                <w:highlight w:val="none"/>
              </w:rPr>
              <w:t>供应商</w:t>
            </w:r>
            <w:r>
              <w:rPr>
                <w:rFonts w:ascii="宋体" w:hAnsi="宋体"/>
                <w:bCs/>
                <w:color w:val="auto"/>
                <w:sz w:val="24"/>
                <w:szCs w:val="21"/>
                <w:highlight w:val="none"/>
              </w:rPr>
              <w:t>单位负责人为同一人或者存在直接控股、管理关系的不同供应商，不得参加同一合同项下的采购活动</w:t>
            </w:r>
            <w:r>
              <w:rPr>
                <w:rFonts w:hint="eastAsia" w:ascii="宋体" w:hAnsi="宋体"/>
                <w:bCs/>
                <w:color w:val="auto"/>
                <w:sz w:val="24"/>
                <w:szCs w:val="21"/>
                <w:highlight w:val="none"/>
              </w:rPr>
              <w:t>；</w:t>
            </w:r>
          </w:p>
          <w:p>
            <w:pPr>
              <w:pStyle w:val="54"/>
              <w:spacing w:line="276" w:lineRule="auto"/>
              <w:rPr>
                <w:color w:val="auto"/>
                <w:highlight w:val="none"/>
                <w:lang w:val="zh-CN"/>
              </w:rPr>
            </w:pPr>
            <w:r>
              <w:rPr>
                <w:rFonts w:hint="eastAsia" w:hAnsi="宋体" w:cs="宋体"/>
                <w:bCs/>
                <w:color w:val="auto"/>
                <w:szCs w:val="21"/>
                <w:highlight w:val="none"/>
              </w:rPr>
              <w:t>②</w:t>
            </w:r>
            <w:r>
              <w:rPr>
                <w:rFonts w:hint="eastAsia" w:hAnsi="宋体"/>
                <w:bCs/>
                <w:color w:val="auto"/>
                <w:szCs w:val="21"/>
                <w:highlight w:val="none"/>
              </w:rPr>
              <w:t>凡</w:t>
            </w:r>
            <w:r>
              <w:rPr>
                <w:rFonts w:hAnsi="宋体"/>
                <w:bCs/>
                <w:color w:val="auto"/>
                <w:szCs w:val="21"/>
                <w:highlight w:val="none"/>
              </w:rPr>
              <w:t>为采购项目提供整体设计、规范编制或者项目管理、监理、检测等服务的供应商，不得再参加</w:t>
            </w:r>
            <w:r>
              <w:rPr>
                <w:rFonts w:hint="eastAsia" w:hAnsi="宋体"/>
                <w:bCs/>
                <w:color w:val="auto"/>
                <w:szCs w:val="21"/>
                <w:highlight w:val="none"/>
              </w:rPr>
              <w:t>本</w:t>
            </w:r>
            <w:r>
              <w:rPr>
                <w:rFonts w:hAnsi="宋体"/>
                <w:bCs/>
                <w:color w:val="auto"/>
                <w:szCs w:val="21"/>
                <w:highlight w:val="none"/>
              </w:rPr>
              <w:t>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567" w:type="dxa"/>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9452" w:type="dxa"/>
            <w:gridSpan w:val="2"/>
          </w:tcPr>
          <w:p>
            <w:pPr>
              <w:pStyle w:val="54"/>
              <w:rPr>
                <w:rFonts w:hAnsi="宋体"/>
                <w:bCs/>
                <w:color w:val="auto"/>
                <w:szCs w:val="24"/>
                <w:highlight w:val="none"/>
                <w:lang w:val="zh-CN"/>
              </w:rPr>
            </w:pPr>
            <w:r>
              <w:rPr>
                <w:rFonts w:hint="eastAsia" w:hAnsi="宋体"/>
                <w:bCs/>
                <w:color w:val="auto"/>
                <w:szCs w:val="24"/>
                <w:highlight w:val="none"/>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567" w:type="dxa"/>
            <w:vAlign w:val="center"/>
          </w:tcPr>
          <w:p>
            <w:pPr>
              <w:jc w:val="center"/>
              <w:rPr>
                <w:rFonts w:hint="eastAsia" w:ascii="宋体" w:hAnsi="宋体" w:eastAsiaTheme="minorEastAsia"/>
                <w:bCs/>
                <w:color w:val="auto"/>
                <w:sz w:val="24"/>
                <w:szCs w:val="24"/>
                <w:highlight w:val="none"/>
                <w:lang w:val="en-US" w:eastAsia="zh-CN"/>
              </w:rPr>
            </w:pPr>
            <w:r>
              <w:rPr>
                <w:rFonts w:hint="eastAsia" w:ascii="宋体" w:hAnsi="宋体"/>
                <w:bCs/>
                <w:color w:val="auto"/>
                <w:sz w:val="24"/>
                <w:szCs w:val="24"/>
                <w:highlight w:val="none"/>
                <w:lang w:val="en-US" w:eastAsia="zh-CN"/>
              </w:rPr>
              <w:t>4</w:t>
            </w:r>
          </w:p>
        </w:tc>
        <w:tc>
          <w:tcPr>
            <w:tcW w:w="9452" w:type="dxa"/>
            <w:gridSpan w:val="2"/>
            <w:vAlign w:val="top"/>
          </w:tcPr>
          <w:p>
            <w:pPr>
              <w:spacing w:line="240" w:lineRule="atLeast"/>
              <w:rPr>
                <w:rFonts w:hint="eastAsia" w:ascii="宋体" w:hAnsi="宋体" w:cs="宋体" w:eastAsiaTheme="minorEastAsia"/>
                <w:color w:val="auto"/>
                <w:highlight w:val="none"/>
                <w:lang w:eastAsia="zh-CN"/>
              </w:rPr>
            </w:pPr>
            <w:bookmarkStart w:id="7" w:name="OLE_LINK12"/>
            <w:r>
              <w:rPr>
                <w:rFonts w:hint="eastAsia" w:ascii="宋体" w:hAnsi="宋体" w:cs="宋体"/>
                <w:bCs/>
                <w:color w:val="auto"/>
                <w:sz w:val="24"/>
                <w:highlight w:val="none"/>
              </w:rPr>
              <w:t>投标保证金</w:t>
            </w:r>
            <w:r>
              <w:rPr>
                <w:rFonts w:hint="eastAsia" w:ascii="宋体" w:hAnsi="宋体" w:cs="宋体"/>
                <w:bCs/>
                <w:color w:val="auto"/>
                <w:sz w:val="24"/>
                <w:highlight w:val="none"/>
                <w:lang w:eastAsia="zh-CN"/>
              </w:rPr>
              <w:t>：</w:t>
            </w:r>
          </w:p>
          <w:p>
            <w:pPr>
              <w:pStyle w:val="54"/>
              <w:rPr>
                <w:rFonts w:hint="eastAsia" w:hAnsi="宋体"/>
                <w:b w:val="0"/>
                <w:bCs/>
                <w:color w:val="auto"/>
                <w:highlight w:val="none"/>
              </w:rPr>
            </w:pPr>
            <w:r>
              <w:rPr>
                <w:rFonts w:hint="eastAsia" w:hAnsi="宋体"/>
                <w:b w:val="0"/>
                <w:bCs/>
                <w:color w:val="auto"/>
                <w:highlight w:val="none"/>
                <w:lang w:val="en-US" w:eastAsia="zh-CN"/>
              </w:rPr>
              <w:t>招标人</w:t>
            </w:r>
            <w:r>
              <w:rPr>
                <w:rFonts w:hint="eastAsia" w:hAnsi="宋体"/>
                <w:b w:val="0"/>
                <w:bCs/>
                <w:color w:val="auto"/>
                <w:highlight w:val="none"/>
                <w:lang w:eastAsia="zh-CN"/>
              </w:rPr>
              <w:t>根据项目的实际情况，要求投标人</w:t>
            </w:r>
            <w:r>
              <w:rPr>
                <w:rFonts w:hint="eastAsia" w:hAnsi="宋体"/>
                <w:b w:val="0"/>
                <w:bCs/>
                <w:color w:val="auto"/>
                <w:highlight w:val="none"/>
                <w:lang w:val="en-US" w:eastAsia="zh-CN"/>
              </w:rPr>
              <w:t>在2025年9月19日11:00至2025年10月10日13:50前交纳投标保证金10000元人民币。交纳投标保证金的单位名称必须与参加投标的投标人名称一致：</w:t>
            </w:r>
          </w:p>
          <w:tbl>
            <w:tblPr>
              <w:tblStyle w:val="30"/>
              <w:tblW w:w="83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3176"/>
              <w:gridCol w:w="1029"/>
              <w:gridCol w:w="2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1616" w:type="dxa"/>
                  <w:noWrap w:val="0"/>
                  <w:vAlign w:val="center"/>
                </w:tcPr>
                <w:p>
                  <w:pPr>
                    <w:jc w:val="center"/>
                    <w:rPr>
                      <w:rFonts w:hint="eastAsia" w:ascii="宋体" w:hAnsi="宋体" w:cs="宋体"/>
                      <w:bCs/>
                      <w:color w:val="auto"/>
                      <w:highlight w:val="none"/>
                      <w:lang w:val="zh-CN"/>
                    </w:rPr>
                  </w:pPr>
                  <w:r>
                    <w:rPr>
                      <w:rFonts w:hint="eastAsia" w:ascii="宋体" w:hAnsi="宋体" w:cs="宋体"/>
                      <w:color w:val="auto"/>
                      <w:highlight w:val="none"/>
                    </w:rPr>
                    <w:t>投标保证金接收账户名称</w:t>
                  </w:r>
                </w:p>
              </w:tc>
              <w:tc>
                <w:tcPr>
                  <w:tcW w:w="3176" w:type="dxa"/>
                  <w:noWrap w:val="0"/>
                  <w:vAlign w:val="center"/>
                </w:tcPr>
                <w:p>
                  <w:pPr>
                    <w:jc w:val="center"/>
                    <w:rPr>
                      <w:rFonts w:hint="default" w:ascii="宋体" w:hAnsi="宋体" w:cs="宋体" w:eastAsiaTheme="minorEastAsia"/>
                      <w:color w:val="auto"/>
                      <w:highlight w:val="none"/>
                      <w:lang w:val="en-US" w:eastAsia="zh-CN"/>
                    </w:rPr>
                  </w:pPr>
                  <w:r>
                    <w:rPr>
                      <w:rFonts w:hint="eastAsia" w:ascii="宋体" w:hAnsi="宋体" w:cs="宋体"/>
                      <w:color w:val="auto"/>
                      <w:highlight w:val="none"/>
                      <w:lang w:val="en-US" w:eastAsia="zh-CN"/>
                    </w:rPr>
                    <w:t>宜兴市公用环保集团有限公司</w:t>
                  </w:r>
                </w:p>
              </w:tc>
              <w:tc>
                <w:tcPr>
                  <w:tcW w:w="1029" w:type="dxa"/>
                  <w:vMerge w:val="restart"/>
                  <w:noWrap w:val="0"/>
                  <w:vAlign w:val="center"/>
                </w:tcPr>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交纳</w:t>
                  </w:r>
                </w:p>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形式</w:t>
                  </w:r>
                </w:p>
              </w:tc>
              <w:tc>
                <w:tcPr>
                  <w:tcW w:w="2526" w:type="dxa"/>
                  <w:vMerge w:val="restart"/>
                  <w:noWrap w:val="0"/>
                  <w:vAlign w:val="center"/>
                </w:tcPr>
                <w:p>
                  <w:pPr>
                    <w:jc w:val="center"/>
                    <w:rPr>
                      <w:rFonts w:hint="eastAsia" w:ascii="宋体" w:hAnsi="宋体" w:cs="宋体"/>
                      <w:bCs/>
                      <w:color w:val="auto"/>
                      <w:highlight w:val="none"/>
                      <w:lang w:val="zh-CN"/>
                    </w:rPr>
                  </w:pPr>
                  <w:r>
                    <w:rPr>
                      <w:rFonts w:hint="eastAsia" w:ascii="宋体" w:hAnsi="宋体" w:cs="宋体"/>
                      <w:color w:val="auto"/>
                      <w:highlight w:val="none"/>
                    </w:rPr>
                    <w:t>投标保证金的交纳形式</w:t>
                  </w:r>
                  <w:r>
                    <w:rPr>
                      <w:rFonts w:hint="eastAsia" w:ascii="宋体" w:hAnsi="宋体" w:cs="宋体"/>
                      <w:color w:val="auto"/>
                      <w:highlight w:val="none"/>
                      <w:lang w:val="en-US" w:eastAsia="zh-CN"/>
                    </w:rPr>
                    <w:t>仅</w:t>
                  </w:r>
                  <w:r>
                    <w:rPr>
                      <w:rFonts w:hint="eastAsia" w:ascii="宋体" w:hAnsi="宋体" w:cs="宋体"/>
                      <w:color w:val="auto"/>
                      <w:highlight w:val="none"/>
                    </w:rPr>
                    <w:t>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jc w:val="center"/>
              </w:trPr>
              <w:tc>
                <w:tcPr>
                  <w:tcW w:w="1616" w:type="dxa"/>
                  <w:noWrap w:val="0"/>
                  <w:vAlign w:val="center"/>
                </w:tcPr>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开户银行及行号</w:t>
                  </w:r>
                </w:p>
              </w:tc>
              <w:tc>
                <w:tcPr>
                  <w:tcW w:w="3176" w:type="dxa"/>
                  <w:noWrap w:val="0"/>
                  <w:vAlign w:val="center"/>
                </w:tcPr>
                <w:p>
                  <w:pPr>
                    <w:jc w:val="center"/>
                    <w:rPr>
                      <w:rFonts w:hint="default" w:ascii="宋体" w:hAnsi="宋体" w:cs="宋体" w:eastAsiaTheme="minorEastAsia"/>
                      <w:color w:val="auto"/>
                      <w:highlight w:val="none"/>
                      <w:lang w:val="en-US" w:eastAsia="zh-CN"/>
                    </w:rPr>
                  </w:pPr>
                  <w:r>
                    <w:rPr>
                      <w:rFonts w:hint="eastAsia" w:ascii="宋体" w:hAnsi="宋体" w:cs="宋体"/>
                      <w:color w:val="auto"/>
                      <w:highlight w:val="none"/>
                      <w:lang w:val="en-US" w:eastAsia="zh-CN"/>
                    </w:rPr>
                    <w:t>光大银行宜兴支行</w:t>
                  </w:r>
                </w:p>
              </w:tc>
              <w:tc>
                <w:tcPr>
                  <w:tcW w:w="1029" w:type="dxa"/>
                  <w:vMerge w:val="continue"/>
                  <w:noWrap w:val="0"/>
                  <w:vAlign w:val="center"/>
                </w:tcPr>
                <w:p>
                  <w:pPr>
                    <w:jc w:val="center"/>
                    <w:rPr>
                      <w:rFonts w:hint="eastAsia" w:ascii="宋体" w:hAnsi="宋体" w:cs="宋体"/>
                      <w:bCs/>
                      <w:color w:val="auto"/>
                      <w:highlight w:val="none"/>
                      <w:lang w:val="zh-CN"/>
                    </w:rPr>
                  </w:pPr>
                </w:p>
              </w:tc>
              <w:tc>
                <w:tcPr>
                  <w:tcW w:w="2526" w:type="dxa"/>
                  <w:vMerge w:val="continue"/>
                  <w:noWrap w:val="0"/>
                  <w:vAlign w:val="center"/>
                </w:tcPr>
                <w:p>
                  <w:pPr>
                    <w:jc w:val="center"/>
                    <w:rPr>
                      <w:rFonts w:hint="eastAsia" w:ascii="宋体" w:hAnsi="宋体" w:cs="宋体"/>
                      <w:bCs/>
                      <w:color w:val="auto"/>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jc w:val="center"/>
              </w:trPr>
              <w:tc>
                <w:tcPr>
                  <w:tcW w:w="1616" w:type="dxa"/>
                  <w:noWrap w:val="0"/>
                  <w:vAlign w:val="center"/>
                </w:tcPr>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账</w:t>
                  </w:r>
                  <w:r>
                    <w:rPr>
                      <w:rFonts w:hint="eastAsia" w:ascii="宋体" w:hAnsi="宋体" w:cs="宋体"/>
                      <w:bCs/>
                      <w:color w:val="auto"/>
                      <w:highlight w:val="none"/>
                    </w:rPr>
                    <w:t xml:space="preserve"> </w:t>
                  </w:r>
                  <w:r>
                    <w:rPr>
                      <w:rFonts w:hint="eastAsia" w:ascii="宋体" w:hAnsi="宋体" w:cs="宋体"/>
                      <w:bCs/>
                      <w:color w:val="auto"/>
                      <w:highlight w:val="none"/>
                      <w:lang w:val="zh-CN"/>
                    </w:rPr>
                    <w:t>号</w:t>
                  </w:r>
                </w:p>
              </w:tc>
              <w:tc>
                <w:tcPr>
                  <w:tcW w:w="3176" w:type="dxa"/>
                  <w:noWrap w:val="0"/>
                  <w:vAlign w:val="center"/>
                </w:tcPr>
                <w:p>
                  <w:pPr>
                    <w:jc w:val="center"/>
                    <w:rPr>
                      <w:rFonts w:hint="default" w:ascii="宋体" w:hAnsi="宋体" w:cs="宋体" w:eastAsiaTheme="minorEastAsia"/>
                      <w:bCs/>
                      <w:color w:val="auto"/>
                      <w:highlight w:val="none"/>
                      <w:lang w:val="en-US" w:eastAsia="zh-CN"/>
                    </w:rPr>
                  </w:pPr>
                  <w:r>
                    <w:rPr>
                      <w:rFonts w:hint="eastAsia" w:ascii="宋体" w:hAnsi="宋体" w:cs="宋体"/>
                      <w:bCs/>
                      <w:color w:val="auto"/>
                      <w:highlight w:val="none"/>
                      <w:lang w:val="en-US" w:eastAsia="zh-CN"/>
                    </w:rPr>
                    <w:t>51610188000311879</w:t>
                  </w:r>
                </w:p>
              </w:tc>
              <w:tc>
                <w:tcPr>
                  <w:tcW w:w="1029" w:type="dxa"/>
                  <w:vMerge w:val="continue"/>
                  <w:noWrap w:val="0"/>
                  <w:vAlign w:val="center"/>
                </w:tcPr>
                <w:p>
                  <w:pPr>
                    <w:jc w:val="center"/>
                    <w:rPr>
                      <w:rFonts w:hint="eastAsia" w:ascii="宋体" w:hAnsi="宋体" w:cs="宋体"/>
                      <w:bCs/>
                      <w:color w:val="auto"/>
                      <w:highlight w:val="none"/>
                      <w:lang w:val="zh-CN"/>
                    </w:rPr>
                  </w:pPr>
                </w:p>
              </w:tc>
              <w:tc>
                <w:tcPr>
                  <w:tcW w:w="2526" w:type="dxa"/>
                  <w:vMerge w:val="continue"/>
                  <w:noWrap w:val="0"/>
                  <w:vAlign w:val="center"/>
                </w:tcPr>
                <w:p>
                  <w:pPr>
                    <w:jc w:val="center"/>
                    <w:rPr>
                      <w:rFonts w:hint="eastAsia" w:ascii="宋体" w:hAnsi="宋体" w:cs="宋体"/>
                      <w:bCs/>
                      <w:color w:val="auto"/>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jc w:val="center"/>
              </w:trPr>
              <w:tc>
                <w:tcPr>
                  <w:tcW w:w="8347" w:type="dxa"/>
                  <w:gridSpan w:val="4"/>
                  <w:noWrap w:val="0"/>
                  <w:vAlign w:val="center"/>
                </w:tcPr>
                <w:p>
                  <w:pPr>
                    <w:tabs>
                      <w:tab w:val="left" w:pos="1331"/>
                    </w:tabs>
                    <w:jc w:val="both"/>
                    <w:rPr>
                      <w:rFonts w:hint="default" w:ascii="宋体" w:hAnsi="宋体" w:cs="宋体" w:eastAsiaTheme="minorEastAsia"/>
                      <w:bCs/>
                      <w:color w:val="auto"/>
                      <w:highlight w:val="none"/>
                      <w:lang w:val="en-US" w:eastAsia="zh-CN"/>
                    </w:rPr>
                  </w:pPr>
                  <w:r>
                    <w:rPr>
                      <w:rFonts w:hint="eastAsia" w:ascii="宋体" w:hAnsi="宋体" w:cs="宋体"/>
                      <w:bCs/>
                      <w:color w:val="auto"/>
                      <w:highlight w:val="none"/>
                      <w:lang w:val="en-US" w:eastAsia="zh-CN"/>
                    </w:rPr>
                    <w:t>注：投标人必须在投标截止时间及开标时间前10分钟将保证金汇入以上账户，否则作废标处理，缴纳投标保证金账户为涉密账户，账号随机，请投标单位仔细核对账号后缴纳投标保证金，合同签订后，无息退回。</w:t>
                  </w:r>
                </w:p>
              </w:tc>
            </w:tr>
            <w:bookmarkEnd w:id="7"/>
          </w:tbl>
          <w:p>
            <w:pPr>
              <w:pStyle w:val="54"/>
              <w:rPr>
                <w:rFonts w:hint="eastAsia" w:hAnsi="宋体"/>
                <w:bCs/>
                <w:color w:val="auto"/>
                <w:szCs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567" w:type="dxa"/>
            <w:vAlign w:val="center"/>
          </w:tcPr>
          <w:p>
            <w:pPr>
              <w:jc w:val="center"/>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lang w:val="en-US" w:eastAsia="zh-CN"/>
              </w:rPr>
              <w:t>5</w:t>
            </w:r>
          </w:p>
        </w:tc>
        <w:tc>
          <w:tcPr>
            <w:tcW w:w="9452" w:type="dxa"/>
            <w:gridSpan w:val="2"/>
          </w:tcPr>
          <w:p>
            <w:pPr>
              <w:rPr>
                <w:rFonts w:ascii="宋体" w:hAnsi="宋体" w:eastAsia="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pPr>
              <w:rPr>
                <w:rFonts w:ascii="宋体" w:hAnsi="宋体"/>
                <w:bCs/>
                <w:color w:val="auto"/>
                <w:sz w:val="24"/>
                <w:szCs w:val="24"/>
                <w:highlight w:val="none"/>
              </w:rPr>
            </w:pPr>
            <w:r>
              <w:rPr>
                <w:rFonts w:hint="eastAsia" w:ascii="宋体" w:hAnsi="宋体"/>
                <w:bCs/>
                <w:color w:val="auto"/>
                <w:sz w:val="24"/>
                <w:szCs w:val="24"/>
                <w:highlight w:val="none"/>
              </w:rPr>
              <w:t>投标文件副本份数：4份（需装订后密封）</w:t>
            </w:r>
          </w:p>
          <w:p>
            <w:pPr>
              <w:rPr>
                <w:rFonts w:ascii="宋体" w:hAnsi="宋体"/>
                <w:bCs/>
                <w:color w:val="auto"/>
                <w:sz w:val="24"/>
                <w:szCs w:val="24"/>
                <w:highlight w:val="none"/>
              </w:rPr>
            </w:pPr>
            <w:r>
              <w:rPr>
                <w:rFonts w:hint="eastAsia" w:ascii="宋体" w:hAnsi="宋体"/>
                <w:bCs/>
                <w:color w:val="auto"/>
                <w:sz w:val="24"/>
                <w:szCs w:val="24"/>
                <w:highlight w:val="none"/>
              </w:rPr>
              <w:t>资格审查原件：</w:t>
            </w:r>
            <w:r>
              <w:rPr>
                <w:rFonts w:ascii="宋体" w:hAnsi="宋体"/>
                <w:bCs/>
                <w:color w:val="auto"/>
                <w:sz w:val="24"/>
                <w:szCs w:val="24"/>
                <w:highlight w:val="none"/>
              </w:rPr>
              <w:t>1</w:t>
            </w:r>
            <w:r>
              <w:rPr>
                <w:rFonts w:hint="eastAsia" w:ascii="宋体" w:hAnsi="宋体"/>
                <w:bCs/>
                <w:color w:val="auto"/>
                <w:sz w:val="24"/>
                <w:szCs w:val="24"/>
                <w:highlight w:val="none"/>
              </w:rPr>
              <w:t>份（不需密封）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567" w:type="dxa"/>
            <w:vAlign w:val="center"/>
          </w:tcPr>
          <w:p>
            <w:pPr>
              <w:jc w:val="center"/>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lang w:val="en-US" w:eastAsia="zh-CN"/>
              </w:rPr>
              <w:t>6</w:t>
            </w:r>
          </w:p>
        </w:tc>
        <w:tc>
          <w:tcPr>
            <w:tcW w:w="9452" w:type="dxa"/>
            <w:gridSpan w:val="2"/>
          </w:tcPr>
          <w:p>
            <w:pPr>
              <w:rPr>
                <w:rFonts w:ascii="宋体" w:hAnsi="宋体"/>
                <w:bCs/>
                <w:color w:val="auto"/>
                <w:sz w:val="24"/>
                <w:szCs w:val="24"/>
                <w:highlight w:val="none"/>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10</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10</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14</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lang w:val="en-US" w:eastAsia="zh-CN"/>
              </w:rPr>
              <w:t>0</w:t>
            </w:r>
            <w:r>
              <w:rPr>
                <w:rFonts w:hint="eastAsia" w:ascii="宋体" w:hAnsi="宋体"/>
                <w:bCs/>
                <w:color w:val="auto"/>
                <w:sz w:val="24"/>
                <w:szCs w:val="24"/>
                <w:highlight w:val="none"/>
              </w:rPr>
              <w:t>0</w:t>
            </w:r>
          </w:p>
          <w:p>
            <w:pPr>
              <w:rPr>
                <w:rFonts w:ascii="宋体" w:hAnsi="宋体"/>
                <w:bCs/>
                <w:color w:val="auto"/>
                <w:sz w:val="24"/>
                <w:szCs w:val="24"/>
                <w:highlight w:val="none"/>
              </w:rPr>
            </w:pPr>
            <w:r>
              <w:rPr>
                <w:rFonts w:hint="eastAsia" w:ascii="宋体" w:hAnsi="宋体"/>
                <w:bCs/>
                <w:color w:val="auto"/>
                <w:sz w:val="24"/>
                <w:szCs w:val="24"/>
                <w:highlight w:val="none"/>
              </w:rPr>
              <w:t>定标时间：评标结束后</w:t>
            </w:r>
          </w:p>
          <w:p>
            <w:pPr>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w:t>
            </w:r>
            <w:r>
              <w:rPr>
                <w:rFonts w:hint="eastAsia" w:ascii="宋体" w:hAnsi="宋体" w:eastAsia="宋体" w:cs="Times New Roman"/>
                <w:bCs/>
                <w:color w:val="auto"/>
                <w:sz w:val="24"/>
                <w:szCs w:val="24"/>
                <w:highlight w:val="none"/>
                <w:lang w:val="zh-CN"/>
              </w:rPr>
              <w:t>江苏恒鸿建设咨询有限公司</w:t>
            </w:r>
            <w:r>
              <w:rPr>
                <w:rFonts w:hint="eastAsia" w:ascii="宋体" w:hAnsi="宋体" w:eastAsia="宋体" w:cs="Times New Roman"/>
                <w:bCs/>
                <w:color w:val="auto"/>
                <w:sz w:val="24"/>
                <w:szCs w:val="24"/>
                <w:highlight w:val="none"/>
                <w:lang w:val="en-US" w:eastAsia="zh-CN"/>
              </w:rPr>
              <w:t>二楼</w:t>
            </w:r>
            <w:r>
              <w:rPr>
                <w:rFonts w:hint="eastAsia" w:ascii="宋体" w:hAnsi="宋体" w:eastAsia="宋体" w:cs="Times New Roman"/>
                <w:bCs/>
                <w:color w:val="auto"/>
                <w:sz w:val="24"/>
                <w:szCs w:val="24"/>
                <w:highlight w:val="none"/>
                <w:lang w:val="zh-CN"/>
              </w:rPr>
              <w:t>开标室（宜兴市紫竹东路105号）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567" w:type="dxa"/>
            <w:vMerge w:val="restart"/>
            <w:vAlign w:val="center"/>
          </w:tcPr>
          <w:p>
            <w:pPr>
              <w:jc w:val="center"/>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lang w:val="en-US" w:eastAsia="zh-CN"/>
              </w:rPr>
              <w:t>7</w:t>
            </w:r>
          </w:p>
        </w:tc>
        <w:tc>
          <w:tcPr>
            <w:tcW w:w="4443" w:type="dxa"/>
          </w:tcPr>
          <w:p>
            <w:pPr>
              <w:rPr>
                <w:rFonts w:hint="eastAsia" w:ascii="宋体" w:hAnsi="宋体" w:eastAsiaTheme="minorEastAsia"/>
                <w:color w:val="auto"/>
                <w:sz w:val="24"/>
                <w:szCs w:val="28"/>
                <w:highlight w:val="none"/>
                <w:lang w:eastAsia="zh-CN"/>
              </w:rPr>
            </w:pPr>
            <w:r>
              <w:rPr>
                <w:rFonts w:hint="eastAsia" w:ascii="宋体" w:hAnsi="宋体"/>
                <w:color w:val="auto"/>
                <w:sz w:val="24"/>
                <w:szCs w:val="28"/>
                <w:highlight w:val="none"/>
              </w:rPr>
              <w:t>采购人：</w:t>
            </w:r>
            <w:r>
              <w:rPr>
                <w:rFonts w:hint="eastAsia" w:ascii="宋体" w:hAnsi="宋体"/>
                <w:color w:val="auto"/>
                <w:sz w:val="24"/>
                <w:szCs w:val="28"/>
                <w:highlight w:val="none"/>
                <w:lang w:eastAsia="zh-CN"/>
              </w:rPr>
              <w:t>宜兴市排水有限公司</w:t>
            </w:r>
          </w:p>
          <w:p>
            <w:pPr>
              <w:rPr>
                <w:rFonts w:ascii="宋体" w:hAnsi="宋体"/>
                <w:color w:val="auto"/>
                <w:sz w:val="24"/>
                <w:szCs w:val="28"/>
                <w:highlight w:val="none"/>
              </w:rPr>
            </w:pPr>
            <w:r>
              <w:rPr>
                <w:rFonts w:hint="eastAsia" w:ascii="宋体" w:hAnsi="宋体"/>
                <w:color w:val="auto"/>
                <w:sz w:val="24"/>
                <w:szCs w:val="28"/>
                <w:highlight w:val="none"/>
              </w:rPr>
              <w:t>联系人：</w:t>
            </w:r>
            <w:r>
              <w:rPr>
                <w:rFonts w:hint="eastAsia" w:ascii="宋体" w:hAnsi="宋体" w:eastAsia="宋体" w:cs="Times New Roman"/>
                <w:color w:val="auto"/>
                <w:sz w:val="24"/>
                <w:szCs w:val="28"/>
                <w:highlight w:val="none"/>
                <w:lang w:val="en-US" w:eastAsia="zh-CN"/>
              </w:rPr>
              <w:t>吴</w:t>
            </w:r>
            <w:r>
              <w:rPr>
                <w:rFonts w:hint="eastAsia" w:ascii="宋体" w:hAnsi="宋体" w:eastAsia="宋体" w:cs="Times New Roman"/>
                <w:color w:val="auto"/>
                <w:sz w:val="24"/>
                <w:szCs w:val="28"/>
                <w:highlight w:val="none"/>
              </w:rPr>
              <w:t>先生</w:t>
            </w:r>
          </w:p>
          <w:p>
            <w:pPr>
              <w:rPr>
                <w:rFonts w:ascii="宋体" w:hAnsi="宋体" w:eastAsia="宋体" w:cs="Times New Roman"/>
                <w:color w:val="auto"/>
                <w:sz w:val="24"/>
                <w:szCs w:val="28"/>
                <w:highlight w:val="none"/>
              </w:rPr>
            </w:pPr>
            <w:r>
              <w:rPr>
                <w:rFonts w:hint="eastAsia" w:ascii="宋体" w:hAnsi="宋体"/>
                <w:color w:val="auto"/>
                <w:sz w:val="24"/>
                <w:szCs w:val="28"/>
                <w:highlight w:val="none"/>
              </w:rPr>
              <w:t>联系电话：13961581104</w:t>
            </w:r>
          </w:p>
          <w:p>
            <w:pPr>
              <w:rPr>
                <w:rFonts w:hint="default" w:ascii="宋体" w:hAnsi="宋体" w:eastAsiaTheme="minorEastAsia"/>
                <w:color w:val="auto"/>
                <w:sz w:val="24"/>
                <w:szCs w:val="28"/>
                <w:highlight w:val="none"/>
                <w:lang w:val="en-US" w:eastAsia="zh-CN"/>
              </w:rPr>
            </w:pPr>
            <w:bookmarkStart w:id="8" w:name="OLE_LINK8"/>
            <w:r>
              <w:rPr>
                <w:rFonts w:hint="eastAsia" w:ascii="宋体" w:hAnsi="宋体"/>
                <w:color w:val="auto"/>
                <w:sz w:val="24"/>
                <w:szCs w:val="28"/>
                <w:highlight w:val="none"/>
              </w:rPr>
              <w:t>联系地址：</w:t>
            </w:r>
            <w:r>
              <w:rPr>
                <w:rFonts w:hint="eastAsia" w:ascii="宋体" w:hAnsi="宋体"/>
                <w:color w:val="auto"/>
                <w:sz w:val="24"/>
                <w:szCs w:val="28"/>
                <w:highlight w:val="none"/>
                <w:lang w:val="en-US" w:eastAsia="zh-CN"/>
              </w:rPr>
              <w:t>宜兴市新街街道杏园路106号</w:t>
            </w:r>
          </w:p>
          <w:p>
            <w:pPr>
              <w:rPr>
                <w:rFonts w:ascii="宋体" w:hAnsi="宋体"/>
                <w:color w:val="auto"/>
                <w:sz w:val="24"/>
                <w:szCs w:val="28"/>
                <w:highlight w:val="none"/>
              </w:rPr>
            </w:pPr>
            <w:r>
              <w:rPr>
                <w:rFonts w:hint="eastAsia" w:ascii="宋体" w:hAnsi="宋体"/>
                <w:color w:val="auto"/>
                <w:sz w:val="24"/>
                <w:szCs w:val="28"/>
                <w:highlight w:val="none"/>
              </w:rPr>
              <w:t>邮政编码：214000</w:t>
            </w:r>
            <w:bookmarkEnd w:id="8"/>
          </w:p>
        </w:tc>
        <w:tc>
          <w:tcPr>
            <w:tcW w:w="5009" w:type="dxa"/>
          </w:tcPr>
          <w:p>
            <w:pPr>
              <w:jc w:val="left"/>
              <w:rPr>
                <w:rFonts w:ascii="宋体" w:hAnsi="宋体"/>
                <w:bCs/>
                <w:color w:val="auto"/>
                <w:sz w:val="24"/>
                <w:szCs w:val="24"/>
                <w:highlight w:val="none"/>
              </w:rPr>
            </w:pPr>
            <w:r>
              <w:rPr>
                <w:rFonts w:hint="eastAsia" w:ascii="宋体" w:hAnsi="宋体"/>
                <w:bCs/>
                <w:color w:val="auto"/>
                <w:sz w:val="24"/>
                <w:szCs w:val="24"/>
                <w:highlight w:val="none"/>
              </w:rPr>
              <w:t>采购代理机构：江苏恒鸿建设咨询有限公司</w:t>
            </w:r>
          </w:p>
          <w:p>
            <w:pPr>
              <w:jc w:val="left"/>
              <w:rPr>
                <w:rFonts w:ascii="宋体" w:hAnsi="宋体"/>
                <w:bCs/>
                <w:color w:val="auto"/>
                <w:sz w:val="24"/>
                <w:szCs w:val="24"/>
                <w:highlight w:val="none"/>
              </w:rPr>
            </w:pPr>
            <w:r>
              <w:rPr>
                <w:rFonts w:hint="eastAsia" w:ascii="宋体" w:hAnsi="宋体"/>
                <w:bCs/>
                <w:color w:val="auto"/>
                <w:sz w:val="24"/>
                <w:szCs w:val="24"/>
                <w:highlight w:val="none"/>
              </w:rPr>
              <w:t>联系人：</w:t>
            </w:r>
            <w:bookmarkStart w:id="9" w:name="OLE_LINK1"/>
            <w:r>
              <w:rPr>
                <w:rFonts w:hint="eastAsia" w:ascii="宋体" w:hAnsi="宋体"/>
                <w:bCs/>
                <w:color w:val="auto"/>
                <w:sz w:val="24"/>
                <w:szCs w:val="24"/>
                <w:highlight w:val="none"/>
                <w:lang w:val="en-US" w:eastAsia="zh-CN"/>
              </w:rPr>
              <w:t>刘</w:t>
            </w:r>
            <w:r>
              <w:rPr>
                <w:rFonts w:hint="eastAsia" w:ascii="宋体" w:hAnsi="宋体"/>
                <w:bCs/>
                <w:color w:val="auto"/>
                <w:sz w:val="24"/>
                <w:szCs w:val="24"/>
                <w:highlight w:val="none"/>
              </w:rPr>
              <w:t>女士</w:t>
            </w:r>
            <w:bookmarkEnd w:id="9"/>
          </w:p>
          <w:p>
            <w:pPr>
              <w:jc w:val="left"/>
              <w:rPr>
                <w:rFonts w:ascii="宋体" w:hAnsi="宋体"/>
                <w:bCs/>
                <w:color w:val="auto"/>
                <w:sz w:val="24"/>
                <w:szCs w:val="24"/>
                <w:highlight w:val="none"/>
              </w:rPr>
            </w:pPr>
            <w:r>
              <w:rPr>
                <w:rFonts w:hint="eastAsia" w:ascii="宋体" w:hAnsi="宋体"/>
                <w:bCs/>
                <w:color w:val="auto"/>
                <w:sz w:val="24"/>
                <w:szCs w:val="24"/>
                <w:highlight w:val="none"/>
              </w:rPr>
              <w:t>联系电话：</w:t>
            </w:r>
            <w:bookmarkStart w:id="10" w:name="OLE_LINK9"/>
            <w:r>
              <w:rPr>
                <w:rFonts w:hint="eastAsia" w:ascii="宋体" w:hAnsi="宋体" w:cs="宋体"/>
                <w:bCs/>
                <w:color w:val="auto"/>
                <w:sz w:val="24"/>
                <w:szCs w:val="24"/>
                <w:highlight w:val="none"/>
              </w:rPr>
              <w:t>0510-81717763</w:t>
            </w:r>
            <w:bookmarkEnd w:id="10"/>
          </w:p>
          <w:p>
            <w:pPr>
              <w:jc w:val="left"/>
              <w:rPr>
                <w:rFonts w:ascii="宋体" w:hAnsi="宋体"/>
                <w:bCs/>
                <w:color w:val="auto"/>
                <w:sz w:val="24"/>
                <w:szCs w:val="24"/>
                <w:highlight w:val="none"/>
              </w:rPr>
            </w:pPr>
            <w:r>
              <w:rPr>
                <w:rFonts w:hint="eastAsia" w:ascii="宋体" w:hAnsi="宋体"/>
                <w:bCs/>
                <w:color w:val="auto"/>
                <w:sz w:val="24"/>
                <w:szCs w:val="24"/>
                <w:highlight w:val="none"/>
              </w:rPr>
              <w:t xml:space="preserve">联系地址：宜兴市紫竹东路105号 </w:t>
            </w:r>
          </w:p>
          <w:p>
            <w:pPr>
              <w:rPr>
                <w:rFonts w:ascii="宋体" w:hAnsi="宋体"/>
                <w:color w:val="auto"/>
                <w:sz w:val="24"/>
                <w:szCs w:val="28"/>
                <w:highlight w:val="none"/>
              </w:rPr>
            </w:pPr>
            <w:r>
              <w:rPr>
                <w:rFonts w:hint="eastAsia" w:ascii="宋体" w:hAnsi="宋体"/>
                <w:bCs/>
                <w:color w:val="auto"/>
                <w:sz w:val="24"/>
                <w:szCs w:val="24"/>
                <w:highlight w:val="none"/>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567" w:type="dxa"/>
            <w:vMerge w:val="continue"/>
            <w:vAlign w:val="center"/>
          </w:tcPr>
          <w:p>
            <w:pPr>
              <w:jc w:val="center"/>
              <w:rPr>
                <w:rFonts w:ascii="宋体" w:hAnsi="宋体"/>
                <w:bCs/>
                <w:color w:val="auto"/>
                <w:sz w:val="24"/>
                <w:szCs w:val="24"/>
                <w:highlight w:val="none"/>
              </w:rPr>
            </w:pPr>
          </w:p>
        </w:tc>
        <w:tc>
          <w:tcPr>
            <w:tcW w:w="4443" w:type="dxa"/>
          </w:tcPr>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质疑受理人及联系电话：</w:t>
            </w:r>
          </w:p>
          <w:p>
            <w:pPr>
              <w:pStyle w:val="3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吴</w:t>
            </w:r>
            <w:r>
              <w:rPr>
                <w:rFonts w:hint="eastAsia" w:ascii="宋体" w:hAnsi="宋体" w:eastAsia="宋体" w:cs="宋体"/>
                <w:color w:val="auto"/>
                <w:sz w:val="24"/>
                <w:szCs w:val="24"/>
                <w:highlight w:val="none"/>
              </w:rPr>
              <w:t>先生：13961581104</w:t>
            </w:r>
          </w:p>
          <w:p>
            <w:pPr>
              <w:rPr>
                <w:rFonts w:hint="default" w:ascii="宋体" w:hAnsi="宋体" w:eastAsiaTheme="minorEastAsia"/>
                <w:color w:val="auto"/>
                <w:sz w:val="24"/>
                <w:szCs w:val="28"/>
                <w:highlight w:val="none"/>
                <w:lang w:val="en-US" w:eastAsia="zh-CN"/>
              </w:rPr>
            </w:pPr>
            <w:r>
              <w:rPr>
                <w:rFonts w:hint="eastAsia" w:ascii="宋体" w:hAnsi="宋体"/>
                <w:color w:val="auto"/>
                <w:sz w:val="24"/>
                <w:szCs w:val="28"/>
                <w:highlight w:val="none"/>
              </w:rPr>
              <w:t>联系地址：</w:t>
            </w:r>
            <w:r>
              <w:rPr>
                <w:rFonts w:hint="eastAsia" w:ascii="宋体" w:hAnsi="宋体"/>
                <w:color w:val="auto"/>
                <w:sz w:val="24"/>
                <w:szCs w:val="28"/>
                <w:highlight w:val="none"/>
                <w:lang w:val="en-US" w:eastAsia="zh-CN"/>
              </w:rPr>
              <w:t>宜兴市新街街道杏园路106号</w:t>
            </w:r>
          </w:p>
          <w:p>
            <w:pPr>
              <w:pStyle w:val="32"/>
              <w:rPr>
                <w:rFonts w:hint="eastAsia" w:ascii="宋体" w:hAnsi="宋体" w:eastAsia="宋体" w:cs="宋体"/>
                <w:color w:val="auto"/>
                <w:sz w:val="24"/>
                <w:szCs w:val="24"/>
                <w:highlight w:val="none"/>
                <w:lang w:eastAsia="zh-CN"/>
              </w:rPr>
            </w:pPr>
            <w:r>
              <w:rPr>
                <w:rFonts w:hint="eastAsia" w:ascii="宋体" w:hAnsi="宋体"/>
                <w:color w:val="auto"/>
                <w:sz w:val="24"/>
                <w:szCs w:val="28"/>
                <w:highlight w:val="none"/>
              </w:rPr>
              <w:t>邮政编码：214000</w:t>
            </w:r>
          </w:p>
        </w:tc>
        <w:tc>
          <w:tcPr>
            <w:tcW w:w="5009" w:type="dxa"/>
          </w:tcPr>
          <w:p>
            <w:pPr>
              <w:spacing w:line="269" w:lineRule="auto"/>
              <w:jc w:val="left"/>
              <w:rPr>
                <w:rFonts w:ascii="宋体" w:hAnsi="宋体"/>
                <w:color w:val="auto"/>
                <w:sz w:val="24"/>
                <w:szCs w:val="28"/>
                <w:highlight w:val="none"/>
              </w:rPr>
            </w:pPr>
            <w:r>
              <w:rPr>
                <w:rFonts w:hint="eastAsia" w:ascii="宋体" w:hAnsi="宋体"/>
                <w:color w:val="auto"/>
                <w:sz w:val="24"/>
                <w:szCs w:val="28"/>
                <w:highlight w:val="none"/>
              </w:rPr>
              <w:t>采购监督管理及投诉处理主体：</w:t>
            </w:r>
          </w:p>
          <w:p>
            <w:pPr>
              <w:spacing w:line="269" w:lineRule="auto"/>
              <w:jc w:val="left"/>
              <w:rPr>
                <w:rFonts w:ascii="宋体" w:hAnsi="宋体"/>
                <w:color w:val="auto"/>
                <w:sz w:val="24"/>
                <w:szCs w:val="28"/>
                <w:highlight w:val="none"/>
              </w:rPr>
            </w:pPr>
            <w:r>
              <w:rPr>
                <w:rFonts w:hint="eastAsia" w:ascii="宋体" w:hAnsi="宋体"/>
                <w:color w:val="auto"/>
                <w:sz w:val="24"/>
                <w:szCs w:val="28"/>
                <w:highlight w:val="none"/>
              </w:rPr>
              <w:t>宜兴市公用环保集团有限公司</w:t>
            </w:r>
          </w:p>
          <w:p>
            <w:pPr>
              <w:rPr>
                <w:rFonts w:ascii="宋体" w:hAnsi="宋体"/>
                <w:color w:val="auto"/>
                <w:sz w:val="24"/>
                <w:szCs w:val="28"/>
                <w:highlight w:val="none"/>
              </w:rPr>
            </w:pPr>
            <w:r>
              <w:rPr>
                <w:rFonts w:hint="eastAsia" w:ascii="宋体" w:hAnsi="宋体"/>
                <w:color w:val="auto"/>
                <w:sz w:val="24"/>
                <w:szCs w:val="28"/>
                <w:highlight w:val="none"/>
              </w:rPr>
              <w:t>联系地址：中国宜兴环保科技工业园科技孵化园绿园路528号</w:t>
            </w:r>
          </w:p>
          <w:p>
            <w:pPr>
              <w:rPr>
                <w:rFonts w:ascii="宋体" w:hAnsi="宋体"/>
                <w:color w:val="auto"/>
                <w:sz w:val="24"/>
                <w:szCs w:val="28"/>
                <w:highlight w:val="none"/>
              </w:rPr>
            </w:pPr>
            <w:r>
              <w:rPr>
                <w:rFonts w:hint="eastAsia" w:ascii="宋体" w:hAnsi="宋体"/>
                <w:bCs/>
                <w:color w:val="auto"/>
                <w:sz w:val="24"/>
                <w:szCs w:val="24"/>
                <w:highlight w:val="none"/>
                <w:lang w:val="zh-CN"/>
              </w:rPr>
              <w:t>联系电话：0510-80702109</w:t>
            </w:r>
          </w:p>
        </w:tc>
      </w:tr>
      <w:bookmarkEnd w:id="3"/>
    </w:tbl>
    <w:p>
      <w:pPr>
        <w:jc w:val="center"/>
        <w:outlineLvl w:val="0"/>
        <w:rPr>
          <w:rFonts w:ascii="黑体" w:hAnsi="黑体" w:eastAsia="黑体"/>
          <w:color w:val="auto"/>
          <w:sz w:val="28"/>
          <w:highlight w:val="none"/>
        </w:rPr>
      </w:pPr>
      <w:bookmarkStart w:id="11" w:name="_Toc64637565"/>
      <w:bookmarkStart w:id="12" w:name="_Toc60044036"/>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ascii="黑体" w:hAnsi="黑体" w:eastAsia="黑体"/>
          <w:color w:val="auto"/>
          <w:sz w:val="28"/>
          <w:highlight w:val="none"/>
        </w:rPr>
      </w:pPr>
      <w:r>
        <w:rPr>
          <w:rFonts w:hint="eastAsia" w:ascii="黑体" w:hAnsi="黑体" w:eastAsia="黑体"/>
          <w:color w:val="auto"/>
          <w:sz w:val="28"/>
          <w:highlight w:val="none"/>
        </w:rPr>
        <w:t>第二章 投标人须知</w:t>
      </w:r>
      <w:bookmarkEnd w:id="11"/>
      <w:bookmarkEnd w:id="12"/>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lang w:val="zh-CN"/>
        </w:rPr>
        <w:t>一、总   则</w:t>
      </w:r>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lang w:val="zh-CN"/>
        </w:rPr>
        <w:t>1、定义</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“投标人名称（盖章）”及“投标人公章”</w:t>
      </w:r>
      <w:r>
        <w:rPr>
          <w:rFonts w:hint="eastAsia" w:ascii="宋体" w:hAnsi="宋体"/>
          <w:bCs/>
          <w:color w:val="auto"/>
          <w:sz w:val="24"/>
          <w:szCs w:val="24"/>
          <w:highlight w:val="none"/>
        </w:rPr>
        <w:t>是指投标人的公章。</w:t>
      </w:r>
    </w:p>
    <w:p>
      <w:pPr>
        <w:numPr>
          <w:ilvl w:val="1"/>
          <w:numId w:val="1"/>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“产品”指本招标文件中所述产品及相关服务。</w:t>
      </w:r>
    </w:p>
    <w:p>
      <w:pPr>
        <w:spacing w:line="360" w:lineRule="auto"/>
        <w:ind w:left="482"/>
        <w:rPr>
          <w:rFonts w:ascii="宋体" w:hAnsi="宋体"/>
          <w:b/>
          <w:color w:val="auto"/>
          <w:sz w:val="24"/>
          <w:szCs w:val="24"/>
          <w:highlight w:val="none"/>
        </w:rPr>
      </w:pPr>
      <w:r>
        <w:rPr>
          <w:rFonts w:hint="eastAsia" w:ascii="宋体" w:hAnsi="宋体"/>
          <w:b/>
          <w:color w:val="auto"/>
          <w:sz w:val="24"/>
          <w:szCs w:val="24"/>
          <w:highlight w:val="none"/>
        </w:rPr>
        <w:t>2、投标费用</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投标人应自行承担所有与准备和参加投标有关的一切费用。</w:t>
      </w:r>
    </w:p>
    <w:p>
      <w:pPr>
        <w:spacing w:line="360" w:lineRule="auto"/>
        <w:ind w:firstLine="482" w:firstLineChars="200"/>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2.</w:t>
      </w:r>
      <w:r>
        <w:rPr>
          <w:rFonts w:hint="eastAsia" w:ascii="宋体" w:hAnsi="宋体"/>
          <w:b/>
          <w:color w:val="auto"/>
          <w:sz w:val="24"/>
          <w:szCs w:val="24"/>
          <w:highlight w:val="none"/>
        </w:rPr>
        <w:t>3</w:t>
      </w:r>
      <w:r>
        <w:rPr>
          <w:rFonts w:hint="eastAsia" w:ascii="宋体" w:hAnsi="宋体" w:eastAsia="宋体" w:cs="Times New Roman"/>
          <w:b/>
          <w:color w:val="auto"/>
          <w:sz w:val="24"/>
          <w:szCs w:val="24"/>
          <w:highlight w:val="none"/>
        </w:rPr>
        <w:t>评审费收费标准:</w:t>
      </w:r>
      <w:r>
        <w:rPr>
          <w:rFonts w:ascii="宋体" w:hAnsi="宋体" w:eastAsia="宋体" w:cs="Times New Roman"/>
          <w:b/>
          <w:color w:val="auto"/>
          <w:sz w:val="24"/>
          <w:szCs w:val="24"/>
          <w:highlight w:val="none"/>
        </w:rPr>
        <w:t>参照苏财购[2016]48号文相关规定收取费用（请各</w:t>
      </w:r>
      <w:r>
        <w:rPr>
          <w:rFonts w:hint="eastAsia" w:ascii="宋体" w:hAnsi="宋体" w:eastAsia="宋体" w:cs="Times New Roman"/>
          <w:b/>
          <w:color w:val="auto"/>
          <w:sz w:val="24"/>
          <w:szCs w:val="24"/>
          <w:highlight w:val="none"/>
        </w:rPr>
        <w:t>投标人</w:t>
      </w:r>
      <w:r>
        <w:rPr>
          <w:rFonts w:ascii="宋体" w:hAnsi="宋体" w:eastAsia="宋体" w:cs="Times New Roman"/>
          <w:b/>
          <w:color w:val="auto"/>
          <w:sz w:val="24"/>
          <w:szCs w:val="24"/>
          <w:highlight w:val="none"/>
        </w:rPr>
        <w:t>把此费用考虑在内）。</w:t>
      </w:r>
    </w:p>
    <w:p>
      <w:pPr>
        <w:spacing w:line="360" w:lineRule="auto"/>
        <w:ind w:left="482"/>
        <w:rPr>
          <w:rFonts w:ascii="宋体" w:hAnsi="宋体"/>
          <w:b/>
          <w:color w:val="auto"/>
          <w:sz w:val="24"/>
          <w:szCs w:val="24"/>
          <w:highlight w:val="none"/>
        </w:rPr>
      </w:pPr>
      <w:r>
        <w:rPr>
          <w:rFonts w:hint="eastAsia" w:ascii="宋体" w:hAnsi="宋体"/>
          <w:b/>
          <w:color w:val="auto"/>
          <w:sz w:val="24"/>
          <w:szCs w:val="24"/>
          <w:highlight w:val="none"/>
        </w:rPr>
        <w:t>3、保密要求</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3.1 采购各方当事人，对采购活动过程中获悉的国家秘密、商业秘密，应当依法予以保密。</w:t>
      </w:r>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4.1 投标人可在 “宜兴市公共资源交易中心”网站下载招标文件及有关资料。投标人须按招标文件要求提交全部资料并对招标文件各项内容作出实质性响应，否则投标无效。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w:t>
      </w:r>
      <w:r>
        <w:rPr>
          <w:rFonts w:hint="eastAsia" w:hAnsi="宋体"/>
          <w:bCs/>
          <w:color w:val="auto"/>
          <w:sz w:val="24"/>
          <w:szCs w:val="24"/>
          <w:highlight w:val="none"/>
        </w:rPr>
        <w:t>请立即与</w:t>
      </w:r>
      <w:r>
        <w:rPr>
          <w:rFonts w:hint="eastAsia" w:hAnsi="宋体"/>
          <w:bCs/>
          <w:color w:val="auto"/>
          <w:sz w:val="24"/>
          <w:szCs w:val="24"/>
          <w:highlight w:val="none"/>
          <w:lang w:eastAsia="zh-CN"/>
        </w:rPr>
        <w:t>江苏恒鸿建设咨询有限公司</w:t>
      </w:r>
      <w:r>
        <w:rPr>
          <w:rFonts w:hint="eastAsia" w:hAnsi="宋体"/>
          <w:bCs/>
          <w:color w:val="auto"/>
          <w:sz w:val="24"/>
          <w:szCs w:val="24"/>
          <w:highlight w:val="none"/>
        </w:rPr>
        <w:t>联系解决。</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5.1 本文件“</w:t>
      </w:r>
      <w:bookmarkStart w:id="13" w:name="OLE_LINK21"/>
      <w:r>
        <w:rPr>
          <w:rFonts w:hint="eastAsia" w:ascii="宋体" w:hAnsi="宋体"/>
          <w:bCs/>
          <w:color w:val="auto"/>
          <w:sz w:val="24"/>
          <w:szCs w:val="24"/>
          <w:highlight w:val="none"/>
        </w:rPr>
        <w:t>第三章 评标方法和标准</w:t>
      </w:r>
      <w:bookmarkEnd w:id="13"/>
      <w:r>
        <w:rPr>
          <w:rFonts w:hint="eastAsia" w:ascii="宋体" w:hAnsi="宋体"/>
          <w:bCs/>
          <w:color w:val="auto"/>
          <w:sz w:val="24"/>
          <w:szCs w:val="24"/>
          <w:highlight w:val="none"/>
        </w:rPr>
        <w:t>”和“第四章 项目技术要求和有关说明”由</w:t>
      </w:r>
      <w:bookmarkStart w:id="14" w:name="OLE_LINK13"/>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负责解释</w:t>
      </w:r>
      <w:bookmarkEnd w:id="14"/>
      <w:r>
        <w:rPr>
          <w:rFonts w:hint="eastAsia" w:ascii="宋体" w:hAnsi="宋体"/>
          <w:bCs/>
          <w:color w:val="auto"/>
          <w:sz w:val="24"/>
          <w:szCs w:val="24"/>
          <w:highlight w:val="none"/>
        </w:rPr>
        <w:t>，其他部分由</w:t>
      </w:r>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和</w:t>
      </w:r>
      <w:r>
        <w:rPr>
          <w:rFonts w:hint="eastAsia" w:hAnsi="宋体"/>
          <w:bCs/>
          <w:color w:val="auto"/>
          <w:sz w:val="24"/>
          <w:szCs w:val="24"/>
          <w:highlight w:val="none"/>
          <w:lang w:eastAsia="zh-CN"/>
        </w:rPr>
        <w:t>江苏恒鸿建设咨询有限公司</w:t>
      </w:r>
      <w:r>
        <w:rPr>
          <w:rFonts w:hint="eastAsia" w:ascii="宋体" w:hAnsi="宋体"/>
          <w:bCs/>
          <w:color w:val="auto"/>
          <w:sz w:val="24"/>
          <w:szCs w:val="24"/>
          <w:highlight w:val="none"/>
        </w:rPr>
        <w:t>负责解释。</w:t>
      </w:r>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pPr>
        <w:spacing w:line="360" w:lineRule="auto"/>
        <w:ind w:firstLine="480" w:firstLineChars="200"/>
        <w:rPr>
          <w:rFonts w:ascii="宋体"/>
          <w:color w:val="auto"/>
          <w:sz w:val="24"/>
          <w:szCs w:val="21"/>
          <w:highlight w:val="none"/>
          <w:lang w:val="zh-CN"/>
        </w:rPr>
      </w:pPr>
      <w:r>
        <w:rPr>
          <w:rFonts w:hint="eastAsia" w:ascii="宋体" w:hAnsi="宋体"/>
          <w:bCs/>
          <w:color w:val="auto"/>
          <w:sz w:val="24"/>
          <w:szCs w:val="24"/>
          <w:highlight w:val="none"/>
        </w:rPr>
        <w:t xml:space="preserve">6.1 </w:t>
      </w:r>
      <w:r>
        <w:rPr>
          <w:rFonts w:hint="eastAsia" w:ascii="宋体" w:hAnsi="宋体" w:cs="宋体"/>
          <w:color w:val="auto"/>
          <w:sz w:val="24"/>
          <w:szCs w:val="24"/>
          <w:highlight w:val="none"/>
        </w:rPr>
        <w:t>采购人或者采购代理机构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发出的招标文件进行必要澄清或者修改的，将在招标文件要求提交投标文件截止时间</w:t>
      </w:r>
      <w:r>
        <w:rPr>
          <w:rFonts w:hint="eastAsia" w:ascii="宋体"/>
          <w:b/>
          <w:bCs/>
          <w:iCs/>
          <w:color w:val="auto"/>
          <w:sz w:val="24"/>
          <w:szCs w:val="21"/>
          <w:highlight w:val="none"/>
          <w:u w:val="single"/>
        </w:rPr>
        <w:t>15</w:t>
      </w:r>
      <w:r>
        <w:rPr>
          <w:rFonts w:hint="eastAsia" w:ascii="宋体"/>
          <w:b/>
          <w:bCs/>
          <w:iCs/>
          <w:color w:val="auto"/>
          <w:sz w:val="24"/>
          <w:szCs w:val="21"/>
          <w:highlight w:val="none"/>
          <w:u w:val="singl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b/>
          <w:bCs/>
          <w:iCs/>
          <w:color w:val="auto"/>
          <w:sz w:val="24"/>
          <w:szCs w:val="21"/>
          <w:highlight w:val="none"/>
          <w:u w:val="single"/>
        </w:rPr>
        <w:t>15</w:t>
      </w:r>
      <w:r>
        <w:rPr>
          <w:rFonts w:hint="eastAsia" w:ascii="宋体"/>
          <w:b/>
          <w:bCs/>
          <w:iCs/>
          <w:color w:val="auto"/>
          <w:sz w:val="24"/>
          <w:szCs w:val="21"/>
          <w:highlight w:val="none"/>
          <w:u w:val="single"/>
          <w:lang w:val="zh-CN"/>
        </w:rPr>
        <w:t>日</w:t>
      </w:r>
      <w:r>
        <w:rPr>
          <w:rFonts w:hint="eastAsia" w:ascii="宋体"/>
          <w:color w:val="auto"/>
          <w:sz w:val="24"/>
          <w:szCs w:val="21"/>
          <w:highlight w:val="none"/>
        </w:rPr>
        <w:t>的，</w:t>
      </w:r>
      <w:r>
        <w:rPr>
          <w:rFonts w:hint="eastAsia" w:ascii="宋体" w:hAnsi="宋体" w:cs="宋体"/>
          <w:color w:val="auto"/>
          <w:sz w:val="24"/>
          <w:szCs w:val="24"/>
          <w:highlight w:val="none"/>
        </w:rPr>
        <w:t>采购人或者采购代理机构有权决定延长投标文件的截止时间和开标时间，</w:t>
      </w:r>
      <w:r>
        <w:rPr>
          <w:rFonts w:hint="eastAsia" w:ascii="宋体"/>
          <w:color w:val="auto"/>
          <w:sz w:val="24"/>
          <w:szCs w:val="21"/>
          <w:highlight w:val="none"/>
          <w:lang w:val="zh-CN"/>
        </w:rPr>
        <w:t>该澄清或者修改的内容为招标文件的组成部分。</w:t>
      </w:r>
    </w:p>
    <w:p>
      <w:pPr>
        <w:spacing w:line="360" w:lineRule="auto"/>
        <w:ind w:firstLine="480" w:firstLineChars="200"/>
        <w:rPr>
          <w:rFonts w:ascii="宋体" w:hAnsi="宋体"/>
          <w:color w:val="auto"/>
          <w:sz w:val="24"/>
          <w:szCs w:val="21"/>
          <w:highlight w:val="none"/>
          <w:lang w:val="zh-CN"/>
        </w:rPr>
      </w:pPr>
      <w:r>
        <w:rPr>
          <w:rFonts w:hint="eastAsia" w:ascii="宋体" w:hAns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三、投标文件</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7、投标文件的组成。</w:t>
      </w:r>
    </w:p>
    <w:p>
      <w:pPr>
        <w:numPr>
          <w:ilvl w:val="0"/>
          <w:numId w:val="2"/>
        </w:numPr>
        <w:tabs>
          <w:tab w:val="left" w:pos="255"/>
        </w:tabs>
        <w:spacing w:line="360" w:lineRule="auto"/>
        <w:rPr>
          <w:rFonts w:ascii="宋体" w:hAnsi="宋体"/>
          <w:color w:val="auto"/>
          <w:sz w:val="24"/>
          <w:szCs w:val="21"/>
          <w:highlight w:val="none"/>
          <w:lang w:val="zh-CN"/>
        </w:rPr>
      </w:pPr>
      <w:bookmarkStart w:id="15" w:name="OLE_LINK51"/>
      <w:r>
        <w:rPr>
          <w:rFonts w:hint="eastAsia" w:ascii="宋体" w:hAnsi="宋体"/>
          <w:color w:val="auto"/>
          <w:sz w:val="24"/>
          <w:szCs w:val="21"/>
          <w:highlight w:val="none"/>
          <w:lang w:val="zh-CN"/>
        </w:rPr>
        <w:t>投标函（</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2"/>
        </w:numPr>
        <w:tabs>
          <w:tab w:val="left" w:pos="255"/>
        </w:tabs>
        <w:spacing w:line="360" w:lineRule="auto"/>
        <w:rPr>
          <w:rFonts w:ascii="宋体" w:hAnsi="宋体"/>
          <w:color w:val="auto"/>
          <w:sz w:val="24"/>
          <w:szCs w:val="21"/>
          <w:highlight w:val="none"/>
          <w:lang w:val="zh-CN"/>
        </w:rPr>
      </w:pPr>
      <w:r>
        <w:rPr>
          <w:rFonts w:hint="eastAsia" w:ascii="宋体" w:hAnsi="宋体"/>
          <w:color w:val="auto"/>
          <w:sz w:val="24"/>
          <w:szCs w:val="21"/>
          <w:highlight w:val="none"/>
          <w:lang w:val="zh-CN"/>
        </w:rPr>
        <w:t>报价文件：</w:t>
      </w:r>
    </w:p>
    <w:p>
      <w:pPr>
        <w:numPr>
          <w:ilvl w:val="0"/>
          <w:numId w:val="3"/>
        </w:numPr>
        <w:tabs>
          <w:tab w:val="left" w:pos="0"/>
          <w:tab w:val="left" w:pos="255"/>
        </w:tabs>
        <w:spacing w:line="360" w:lineRule="auto"/>
        <w:ind w:firstLine="480" w:firstLineChars="200"/>
        <w:rPr>
          <w:rFonts w:ascii="宋体" w:hAnsi="宋体"/>
          <w:color w:val="auto"/>
          <w:sz w:val="24"/>
          <w:szCs w:val="21"/>
          <w:highlight w:val="none"/>
          <w:lang w:val="zh-CN"/>
        </w:rPr>
      </w:pP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3"/>
        </w:numPr>
        <w:tabs>
          <w:tab w:val="left" w:pos="0"/>
          <w:tab w:val="left" w:pos="255"/>
        </w:tabs>
        <w:spacing w:line="360" w:lineRule="auto"/>
        <w:ind w:firstLine="480" w:firstLineChars="200"/>
        <w:rPr>
          <w:rFonts w:ascii="宋体" w:hAnsi="宋体"/>
          <w:color w:val="auto"/>
          <w:sz w:val="24"/>
          <w:szCs w:val="21"/>
          <w:highlight w:val="none"/>
          <w:lang w:val="zh-CN"/>
        </w:rPr>
      </w:pPr>
      <w:r>
        <w:rPr>
          <w:rFonts w:hint="eastAsia" w:ascii="宋体" w:hAnsi="宋体"/>
          <w:color w:val="auto"/>
          <w:sz w:val="24"/>
          <w:szCs w:val="24"/>
          <w:highlight w:val="none"/>
          <w:lang w:val="zh-CN"/>
        </w:rPr>
        <w:t>投标明细报价表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2"/>
        </w:numPr>
        <w:tabs>
          <w:tab w:val="left" w:pos="255"/>
        </w:tabs>
        <w:spacing w:line="360" w:lineRule="auto"/>
        <w:rPr>
          <w:rFonts w:ascii="宋体" w:hAnsi="宋体"/>
          <w:color w:val="auto"/>
          <w:sz w:val="24"/>
          <w:szCs w:val="24"/>
          <w:highlight w:val="none"/>
        </w:rPr>
      </w:pPr>
      <w:bookmarkStart w:id="16" w:name="OLE_LINK20"/>
      <w:r>
        <w:rPr>
          <w:rFonts w:hint="eastAsia" w:ascii="宋体" w:hAnsi="宋体"/>
          <w:color w:val="auto"/>
          <w:sz w:val="24"/>
          <w:szCs w:val="24"/>
          <w:highlight w:val="none"/>
        </w:rPr>
        <w:t>资格证明文件</w:t>
      </w:r>
      <w:bookmarkEnd w:id="16"/>
      <w:r>
        <w:rPr>
          <w:rFonts w:hint="eastAsia" w:ascii="宋体" w:hAnsi="宋体"/>
          <w:color w:val="auto"/>
          <w:sz w:val="24"/>
          <w:szCs w:val="24"/>
          <w:highlight w:val="none"/>
        </w:rPr>
        <w:t>：</w:t>
      </w:r>
    </w:p>
    <w:p>
      <w:pPr>
        <w:numPr>
          <w:ilvl w:val="0"/>
          <w:numId w:val="4"/>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关于资格的声明函（附法定代表人身份证复印件）（格式见附件）；</w:t>
      </w:r>
    </w:p>
    <w:p>
      <w:pPr>
        <w:numPr>
          <w:ilvl w:val="0"/>
          <w:numId w:val="4"/>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投标人法定代表人授权委托书</w:t>
      </w:r>
      <w:r>
        <w:rPr>
          <w:rFonts w:hint="eastAsia" w:ascii="宋体" w:hAnsi="宋体"/>
          <w:color w:val="auto"/>
          <w:sz w:val="24"/>
          <w:szCs w:val="21"/>
          <w:highlight w:val="none"/>
        </w:rPr>
        <w:t>及被</w:t>
      </w:r>
      <w:r>
        <w:rPr>
          <w:rFonts w:hint="eastAsia" w:ascii="宋体" w:hAnsi="宋体"/>
          <w:color w:val="auto"/>
          <w:sz w:val="24"/>
          <w:szCs w:val="24"/>
          <w:highlight w:val="none"/>
        </w:rPr>
        <w:t>授权代表</w:t>
      </w:r>
      <w:r>
        <w:rPr>
          <w:rFonts w:hint="eastAsia" w:ascii="宋体" w:hAnsi="宋体"/>
          <w:color w:val="auto"/>
          <w:sz w:val="24"/>
          <w:szCs w:val="21"/>
          <w:highlight w:val="none"/>
        </w:rPr>
        <w:t>的身份证复印件</w:t>
      </w:r>
      <w:r>
        <w:rPr>
          <w:rFonts w:hint="eastAsia" w:ascii="宋体" w:hAnsi="宋体"/>
          <w:color w:val="auto"/>
          <w:sz w:val="24"/>
          <w:szCs w:val="24"/>
          <w:highlight w:val="none"/>
        </w:rPr>
        <w:t>（格式见附件，法定代表人亲自参加投标的除外）；</w:t>
      </w:r>
      <w:r>
        <w:rPr>
          <w:rFonts w:hint="eastAsia" w:ascii="宋体" w:hAnsi="宋体"/>
          <w:b/>
          <w:bCs/>
          <w:color w:val="auto"/>
          <w:sz w:val="24"/>
          <w:szCs w:val="24"/>
          <w:highlight w:val="none"/>
        </w:rPr>
        <w:t>投标时必须提交被</w:t>
      </w:r>
      <w:r>
        <w:rPr>
          <w:rFonts w:ascii="宋体" w:hAnsi="宋体"/>
          <w:b/>
          <w:bCs/>
          <w:color w:val="auto"/>
          <w:sz w:val="24"/>
          <w:szCs w:val="24"/>
          <w:highlight w:val="none"/>
        </w:rPr>
        <w:t>授权</w:t>
      </w:r>
      <w:r>
        <w:rPr>
          <w:rFonts w:hint="eastAsia" w:ascii="宋体" w:hAnsi="宋体"/>
          <w:b/>
          <w:bCs/>
          <w:color w:val="auto"/>
          <w:sz w:val="24"/>
          <w:szCs w:val="24"/>
          <w:highlight w:val="none"/>
        </w:rPr>
        <w:t>代表的身份证</w:t>
      </w:r>
      <w:r>
        <w:rPr>
          <w:rFonts w:ascii="宋体" w:hAnsi="宋体"/>
          <w:b/>
          <w:bCs/>
          <w:color w:val="auto"/>
          <w:sz w:val="24"/>
          <w:szCs w:val="24"/>
          <w:highlight w:val="none"/>
        </w:rPr>
        <w:t>原件，如是法人来提供法人的身份证原件</w:t>
      </w:r>
    </w:p>
    <w:p>
      <w:pPr>
        <w:numPr>
          <w:ilvl w:val="0"/>
          <w:numId w:val="4"/>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具有独立承担民事责任能力的</w:t>
      </w: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1"/>
          <w:highlight w:val="none"/>
          <w:lang w:val="zh-CN"/>
        </w:rPr>
        <w:t>营业执照</w:t>
      </w:r>
      <w:r>
        <w:rPr>
          <w:rFonts w:hint="eastAsia" w:ascii="宋体" w:hAnsi="宋体"/>
          <w:color w:val="auto"/>
          <w:sz w:val="24"/>
          <w:szCs w:val="21"/>
          <w:highlight w:val="none"/>
          <w:lang w:val="zh-CN"/>
        </w:rPr>
        <w:t>或法人（登记）证书复印件；(</w:t>
      </w:r>
      <w:r>
        <w:rPr>
          <w:rFonts w:hint="eastAsia" w:ascii="宋体" w:hAnsi="宋体"/>
          <w:b/>
          <w:bCs/>
          <w:color w:val="auto"/>
          <w:sz w:val="24"/>
          <w:szCs w:val="24"/>
          <w:highlight w:val="none"/>
        </w:rPr>
        <w:t>投标时必须提交相应原件或公证件）</w:t>
      </w:r>
    </w:p>
    <w:p>
      <w:pPr>
        <w:numPr>
          <w:ilvl w:val="0"/>
          <w:numId w:val="4"/>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投标人依法缴纳</w:t>
      </w:r>
      <w:bookmarkStart w:id="17" w:name="OLE_LINK181"/>
      <w:r>
        <w:rPr>
          <w:rFonts w:hint="eastAsia" w:ascii="宋体" w:hAnsi="宋体"/>
          <w:color w:val="auto"/>
          <w:sz w:val="24"/>
          <w:szCs w:val="24"/>
          <w:highlight w:val="none"/>
        </w:rPr>
        <w:t>近十二个月</w:t>
      </w:r>
      <w:bookmarkEnd w:id="17"/>
      <w:r>
        <w:rPr>
          <w:rFonts w:hint="eastAsia" w:ascii="宋体" w:hAnsi="宋体"/>
          <w:color w:val="auto"/>
          <w:sz w:val="24"/>
          <w:szCs w:val="24"/>
          <w:highlight w:val="none"/>
        </w:rPr>
        <w:t>中任意一个月份税收的相关材料（提供相关主管部门证明或银行代扣证明）复印件；</w:t>
      </w:r>
    </w:p>
    <w:p>
      <w:pPr>
        <w:numPr>
          <w:ilvl w:val="0"/>
          <w:numId w:val="4"/>
        </w:numPr>
        <w:tabs>
          <w:tab w:val="left" w:pos="420"/>
          <w:tab w:val="left" w:pos="945"/>
          <w:tab w:val="left" w:pos="1155"/>
        </w:tabs>
        <w:spacing w:line="360" w:lineRule="auto"/>
        <w:ind w:firstLine="480"/>
        <w:rPr>
          <w:rFonts w:ascii="宋体" w:hAnsi="宋体" w:eastAsia="宋体" w:cs="宋体"/>
          <w:color w:val="auto"/>
          <w:sz w:val="24"/>
          <w:szCs w:val="24"/>
          <w:highlight w:val="none"/>
        </w:rPr>
      </w:pPr>
      <w:r>
        <w:rPr>
          <w:rFonts w:hint="eastAsia" w:ascii="宋体" w:hAnsi="宋体" w:cs="宋体"/>
          <w:color w:val="auto"/>
          <w:sz w:val="24"/>
          <w:szCs w:val="24"/>
          <w:highlight w:val="none"/>
        </w:rPr>
        <w:t>投标人依法缴纳</w:t>
      </w:r>
      <w:r>
        <w:rPr>
          <w:rFonts w:hint="eastAsia" w:ascii="宋体" w:hAnsi="宋体"/>
          <w:color w:val="auto"/>
          <w:sz w:val="24"/>
          <w:szCs w:val="24"/>
          <w:highlight w:val="none"/>
        </w:rPr>
        <w:t>近十二个月中任意一个月份</w:t>
      </w:r>
      <w:r>
        <w:rPr>
          <w:rFonts w:hint="eastAsia" w:ascii="宋体" w:hAnsi="宋体" w:cs="宋体"/>
          <w:color w:val="auto"/>
          <w:sz w:val="24"/>
          <w:szCs w:val="24"/>
          <w:highlight w:val="none"/>
        </w:rPr>
        <w:t>社会保障资金的相关材料（提供相关主管部门证明或银行代扣证明）复印件；</w:t>
      </w:r>
    </w:p>
    <w:p>
      <w:pPr>
        <w:numPr>
          <w:ilvl w:val="0"/>
          <w:numId w:val="4"/>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投标人（或其全资子公司、分公司）为本项目被授权代表在近三个月内（不含投标当月）任意一个月缴纳的社保证明复印件（提供相关主管部门证明或银行代扣证明，法定代表人亲自参加报价的除外）。</w:t>
      </w:r>
    </w:p>
    <w:p>
      <w:pPr>
        <w:numPr>
          <w:ilvl w:val="0"/>
          <w:numId w:val="4"/>
        </w:numPr>
        <w:tabs>
          <w:tab w:val="left" w:pos="420"/>
          <w:tab w:val="left" w:pos="945"/>
          <w:tab w:val="left" w:pos="1155"/>
        </w:tabs>
        <w:spacing w:line="360" w:lineRule="auto"/>
        <w:ind w:firstLine="482" w:firstLineChars="200"/>
        <w:rPr>
          <w:rFonts w:ascii="宋体" w:hAnsi="宋体" w:cs="宋体"/>
          <w:color w:val="auto"/>
          <w:sz w:val="24"/>
          <w:szCs w:val="24"/>
          <w:highlight w:val="none"/>
        </w:rPr>
      </w:pPr>
      <w:r>
        <w:rPr>
          <w:rFonts w:hint="eastAsia" w:ascii="宋体" w:hAnsi="宋体"/>
          <w:b/>
          <w:color w:val="auto"/>
          <w:sz w:val="24"/>
          <w:szCs w:val="24"/>
          <w:highlight w:val="none"/>
        </w:rPr>
        <w:t>良好的信用记录：</w:t>
      </w:r>
      <w:r>
        <w:rPr>
          <w:rFonts w:hint="eastAsia" w:ascii="宋体" w:hAnsi="宋体"/>
          <w:bCs/>
          <w:color w:val="auto"/>
          <w:sz w:val="24"/>
          <w:szCs w:val="24"/>
          <w:highlight w:val="none"/>
        </w:rPr>
        <w:t>未被“</w:t>
      </w:r>
      <w:r>
        <w:rPr>
          <w:rFonts w:hint="eastAsia" w:ascii="宋体" w:hAnsi="宋体"/>
          <w:bCs/>
          <w:color w:val="auto"/>
          <w:sz w:val="24"/>
          <w:szCs w:val="24"/>
          <w:highlight w:val="none"/>
          <w:lang w:val="zh-CN"/>
        </w:rPr>
        <w:t>信用中国</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（www.creditchina.gov.cn）</w:t>
      </w:r>
      <w:r>
        <w:rPr>
          <w:rFonts w:hint="eastAsia" w:ascii="宋体" w:hAnsi="宋体"/>
          <w:bCs/>
          <w:color w:val="auto"/>
          <w:sz w:val="24"/>
          <w:szCs w:val="24"/>
          <w:highlight w:val="none"/>
          <w:lang w:val="zh-CN"/>
        </w:rPr>
        <w:t>列入失信执行人、重大税收违法案件当事人名单、严重失信主体名单</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或未在</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中国政府采购网</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（www.ccgp.gov.cn）</w:t>
      </w:r>
      <w:r>
        <w:rPr>
          <w:rFonts w:hint="eastAsia" w:ascii="宋体" w:hAnsi="宋体"/>
          <w:bCs/>
          <w:color w:val="auto"/>
          <w:sz w:val="24"/>
          <w:szCs w:val="24"/>
          <w:highlight w:val="none"/>
          <w:lang w:val="zh-CN"/>
        </w:rPr>
        <w:t>被列入政府采购严重违法失信行为记录名单</w:t>
      </w:r>
      <w:r>
        <w:rPr>
          <w:rFonts w:hint="eastAsia" w:ascii="宋体" w:hAnsi="宋体"/>
          <w:bCs/>
          <w:color w:val="auto"/>
          <w:sz w:val="24"/>
          <w:szCs w:val="24"/>
          <w:highlight w:val="none"/>
        </w:rPr>
        <w:t>；</w:t>
      </w:r>
      <w:r>
        <w:rPr>
          <w:rFonts w:hint="eastAsia" w:ascii="宋体" w:hAnsi="宋体"/>
          <w:b/>
          <w:color w:val="auto"/>
          <w:sz w:val="24"/>
          <w:szCs w:val="24"/>
          <w:highlight w:val="none"/>
        </w:rPr>
        <w:t>（</w:t>
      </w:r>
      <w:r>
        <w:rPr>
          <w:rFonts w:ascii="宋体" w:hAnsi="宋体"/>
          <w:b/>
          <w:color w:val="auto"/>
          <w:sz w:val="24"/>
          <w:szCs w:val="24"/>
          <w:highlight w:val="none"/>
        </w:rPr>
        <w:t>若</w:t>
      </w:r>
      <w:r>
        <w:rPr>
          <w:rFonts w:hint="eastAsia" w:ascii="宋体" w:hAnsi="宋体"/>
          <w:b/>
          <w:color w:val="auto"/>
          <w:sz w:val="24"/>
          <w:szCs w:val="24"/>
          <w:highlight w:val="none"/>
        </w:rPr>
        <w:t>供应商</w:t>
      </w:r>
      <w:r>
        <w:rPr>
          <w:rFonts w:ascii="宋体" w:hAnsi="宋体"/>
          <w:b/>
          <w:color w:val="auto"/>
          <w:sz w:val="24"/>
          <w:szCs w:val="24"/>
          <w:highlight w:val="none"/>
        </w:rPr>
        <w:t>企业信息已录入以上网站的，</w:t>
      </w:r>
      <w:r>
        <w:rPr>
          <w:rFonts w:hint="eastAsia" w:ascii="宋体" w:hAnsi="宋体"/>
          <w:b/>
          <w:color w:val="auto"/>
          <w:sz w:val="24"/>
          <w:szCs w:val="24"/>
          <w:highlight w:val="none"/>
          <w:lang w:val="zh-CN"/>
        </w:rPr>
        <w:t>无需提供相关证明材料</w:t>
      </w:r>
      <w:r>
        <w:rPr>
          <w:rFonts w:ascii="宋体" w:hAnsi="宋体"/>
          <w:b/>
          <w:color w:val="auto"/>
          <w:sz w:val="24"/>
          <w:szCs w:val="24"/>
          <w:highlight w:val="none"/>
        </w:rPr>
        <w:t>；</w:t>
      </w:r>
      <w:r>
        <w:rPr>
          <w:rFonts w:hint="eastAsia" w:ascii="宋体" w:hAnsi="宋体"/>
          <w:b/>
          <w:color w:val="auto"/>
          <w:sz w:val="24"/>
          <w:szCs w:val="24"/>
          <w:highlight w:val="none"/>
        </w:rPr>
        <w:t>若供应商企业信息</w:t>
      </w:r>
      <w:r>
        <w:rPr>
          <w:rFonts w:ascii="宋体" w:hAnsi="宋体"/>
          <w:b/>
          <w:color w:val="auto"/>
          <w:sz w:val="24"/>
          <w:szCs w:val="24"/>
          <w:highlight w:val="none"/>
        </w:rPr>
        <w:t>未</w:t>
      </w:r>
      <w:r>
        <w:rPr>
          <w:rFonts w:hint="eastAsia" w:ascii="宋体" w:hAnsi="宋体"/>
          <w:b/>
          <w:color w:val="auto"/>
          <w:sz w:val="24"/>
          <w:szCs w:val="24"/>
          <w:highlight w:val="none"/>
        </w:rPr>
        <w:t>录入以上网站的，须在投标文件中提供</w:t>
      </w:r>
      <w:r>
        <w:rPr>
          <w:rFonts w:ascii="宋体" w:hAnsi="宋体"/>
          <w:b/>
          <w:color w:val="auto"/>
          <w:sz w:val="24"/>
          <w:szCs w:val="24"/>
          <w:highlight w:val="none"/>
        </w:rPr>
        <w:t>无不良信用记录</w:t>
      </w:r>
      <w:r>
        <w:rPr>
          <w:rFonts w:hint="eastAsia" w:ascii="宋体" w:hAnsi="宋体"/>
          <w:b/>
          <w:color w:val="auto"/>
          <w:sz w:val="24"/>
          <w:szCs w:val="24"/>
          <w:highlight w:val="none"/>
        </w:rPr>
        <w:t>承诺</w:t>
      </w:r>
      <w:r>
        <w:rPr>
          <w:rFonts w:ascii="宋体" w:hAnsi="宋体"/>
          <w:b/>
          <w:color w:val="auto"/>
          <w:sz w:val="24"/>
          <w:szCs w:val="24"/>
          <w:highlight w:val="none"/>
        </w:rPr>
        <w:t>书</w:t>
      </w:r>
      <w:r>
        <w:rPr>
          <w:rFonts w:hint="eastAsia" w:ascii="宋体" w:hAnsi="宋体"/>
          <w:b/>
          <w:color w:val="auto"/>
          <w:sz w:val="24"/>
          <w:szCs w:val="24"/>
          <w:highlight w:val="none"/>
        </w:rPr>
        <w:t>）</w:t>
      </w:r>
    </w:p>
    <w:p>
      <w:pPr>
        <w:numPr>
          <w:ilvl w:val="0"/>
          <w:numId w:val="4"/>
        </w:numPr>
        <w:tabs>
          <w:tab w:val="left" w:pos="0"/>
          <w:tab w:val="left" w:pos="255"/>
        </w:tabs>
        <w:spacing w:line="360" w:lineRule="auto"/>
        <w:ind w:firstLine="480" w:firstLineChars="200"/>
        <w:rPr>
          <w:rFonts w:ascii="宋体" w:hAnsi="宋体"/>
          <w:color w:val="auto"/>
          <w:sz w:val="24"/>
          <w:szCs w:val="21"/>
          <w:highlight w:val="none"/>
        </w:rPr>
      </w:pPr>
      <w:bookmarkStart w:id="18" w:name="OLE_LINK114"/>
      <w:r>
        <w:rPr>
          <w:rFonts w:hint="eastAsia" w:ascii="宋体" w:hAnsi="宋体"/>
          <w:color w:val="auto"/>
          <w:sz w:val="24"/>
          <w:szCs w:val="21"/>
          <w:highlight w:val="none"/>
        </w:rPr>
        <w:t>投标保证金交纳证明复印件（银行转账记录）；</w:t>
      </w:r>
    </w:p>
    <w:p>
      <w:pPr>
        <w:tabs>
          <w:tab w:val="left" w:pos="0"/>
          <w:tab w:val="left" w:pos="255"/>
        </w:tabs>
        <w:spacing w:line="360" w:lineRule="auto"/>
        <w:ind w:left="506"/>
        <w:rPr>
          <w:rFonts w:ascii="宋体" w:hAnsi="宋体" w:cs="宋体"/>
          <w:color w:val="auto"/>
          <w:sz w:val="24"/>
          <w:szCs w:val="24"/>
          <w:highlight w:val="none"/>
        </w:rPr>
      </w:pPr>
      <w:r>
        <w:rPr>
          <w:rFonts w:hint="eastAsia" w:ascii="宋体" w:hAnsi="宋体"/>
          <w:color w:val="auto"/>
          <w:sz w:val="24"/>
          <w:szCs w:val="24"/>
          <w:highlight w:val="none"/>
        </w:rPr>
        <w:t>注：以上“近十二个月”是指投标截止日之前近十二个月（不含投标当月）。</w:t>
      </w:r>
    </w:p>
    <w:bookmarkEnd w:id="18"/>
    <w:p>
      <w:pPr>
        <w:numPr>
          <w:ilvl w:val="0"/>
          <w:numId w:val="2"/>
        </w:numPr>
        <w:tabs>
          <w:tab w:val="left" w:pos="255"/>
        </w:tabs>
        <w:spacing w:line="360" w:lineRule="auto"/>
        <w:rPr>
          <w:rFonts w:ascii="宋体" w:hAnsi="宋体"/>
          <w:color w:val="auto"/>
          <w:sz w:val="24"/>
          <w:szCs w:val="24"/>
          <w:highlight w:val="none"/>
        </w:rPr>
      </w:pPr>
      <w:r>
        <w:rPr>
          <w:rFonts w:hint="eastAsia" w:ascii="宋体" w:hAnsi="宋体"/>
          <w:color w:val="auto"/>
          <w:sz w:val="24"/>
          <w:szCs w:val="24"/>
          <w:highlight w:val="none"/>
          <w:lang w:val="zh-CN"/>
        </w:rPr>
        <w:t>技术参数及相关要求偏离表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2"/>
        </w:numPr>
        <w:tabs>
          <w:tab w:val="left" w:pos="255"/>
        </w:tabs>
        <w:spacing w:line="360" w:lineRule="auto"/>
        <w:rPr>
          <w:rFonts w:ascii="宋体" w:hAnsi="宋体"/>
          <w:color w:val="auto"/>
          <w:sz w:val="24"/>
          <w:szCs w:val="24"/>
          <w:highlight w:val="none"/>
        </w:rPr>
      </w:pPr>
      <w:bookmarkStart w:id="19" w:name="OLE_LINK4"/>
      <w:r>
        <w:rPr>
          <w:rFonts w:hint="eastAsia" w:ascii="宋体" w:hAnsi="宋体"/>
          <w:color w:val="auto"/>
          <w:sz w:val="24"/>
          <w:szCs w:val="24"/>
          <w:highlight w:val="none"/>
        </w:rPr>
        <w:t>招标文件</w:t>
      </w:r>
      <w:bookmarkEnd w:id="19"/>
      <w:r>
        <w:rPr>
          <w:rFonts w:hint="eastAsia" w:ascii="宋体" w:hAnsi="宋体"/>
          <w:color w:val="auto"/>
          <w:sz w:val="24"/>
          <w:szCs w:val="24"/>
          <w:highlight w:val="none"/>
        </w:rPr>
        <w:t>第四章“项目技术要求和有关说明”中要求提供的相关证明材料</w:t>
      </w:r>
      <w:bookmarkStart w:id="20" w:name="OLE_LINK6"/>
      <w:r>
        <w:rPr>
          <w:rFonts w:hint="eastAsia" w:ascii="宋体" w:hAnsi="宋体"/>
          <w:color w:val="auto"/>
          <w:sz w:val="24"/>
          <w:szCs w:val="24"/>
          <w:highlight w:val="none"/>
        </w:rPr>
        <w:t>（如有自行添加）</w:t>
      </w:r>
      <w:bookmarkEnd w:id="20"/>
    </w:p>
    <w:p>
      <w:pPr>
        <w:numPr>
          <w:ilvl w:val="0"/>
          <w:numId w:val="2"/>
        </w:numPr>
        <w:tabs>
          <w:tab w:val="left" w:pos="255"/>
        </w:tabs>
        <w:spacing w:line="360" w:lineRule="auto"/>
        <w:rPr>
          <w:rFonts w:ascii="宋体" w:hAnsi="宋体"/>
          <w:color w:val="auto"/>
          <w:sz w:val="24"/>
          <w:szCs w:val="24"/>
          <w:highlight w:val="none"/>
        </w:rPr>
      </w:pPr>
      <w:bookmarkStart w:id="21" w:name="OLE_LINK7"/>
      <w:r>
        <w:rPr>
          <w:rFonts w:hint="eastAsia" w:ascii="宋体" w:hAnsi="宋体"/>
          <w:color w:val="auto"/>
          <w:sz w:val="24"/>
          <w:szCs w:val="24"/>
          <w:highlight w:val="none"/>
        </w:rPr>
        <w:t>技术商务部分评分导读表</w:t>
      </w:r>
      <w:bookmarkEnd w:id="21"/>
      <w:r>
        <w:rPr>
          <w:rFonts w:hint="eastAsia" w:ascii="宋体" w:hAnsi="宋体"/>
          <w:color w:val="auto"/>
          <w:sz w:val="24"/>
          <w:szCs w:val="24"/>
          <w:highlight w:val="none"/>
        </w:rPr>
        <w:t>，附招标文件第三章</w:t>
      </w:r>
      <w:r>
        <w:rPr>
          <w:rFonts w:hint="eastAsia" w:ascii="宋体" w:hAnsi="宋体"/>
          <w:color w:val="auto"/>
          <w:sz w:val="24"/>
          <w:szCs w:val="21"/>
          <w:highlight w:val="none"/>
        </w:rPr>
        <w:t>“评标方法和标准”中要求提供的相关文件、证明材料等</w:t>
      </w:r>
      <w:r>
        <w:rPr>
          <w:rFonts w:hint="eastAsia" w:ascii="宋体" w:hAnsi="宋体"/>
          <w:color w:val="auto"/>
          <w:sz w:val="24"/>
          <w:szCs w:val="24"/>
          <w:highlight w:val="none"/>
        </w:rPr>
        <w:t>（格式见附件）</w:t>
      </w:r>
    </w:p>
    <w:p>
      <w:pPr>
        <w:numPr>
          <w:ilvl w:val="0"/>
          <w:numId w:val="2"/>
        </w:numPr>
        <w:spacing w:line="360" w:lineRule="auto"/>
        <w:rPr>
          <w:rFonts w:ascii="宋体" w:hAnsi="宋体"/>
          <w:color w:val="auto"/>
          <w:sz w:val="24"/>
          <w:szCs w:val="24"/>
          <w:highlight w:val="none"/>
          <w:lang w:val="zh-CN"/>
        </w:rPr>
      </w:pPr>
      <w:r>
        <w:rPr>
          <w:rFonts w:hint="eastAsia" w:ascii="宋体" w:hAnsi="宋体"/>
          <w:color w:val="auto"/>
          <w:sz w:val="24"/>
          <w:szCs w:val="24"/>
          <w:highlight w:val="none"/>
        </w:rPr>
        <w:t>要求采购人提供的配合（如有自拟并自行添加）</w:t>
      </w:r>
    </w:p>
    <w:p>
      <w:pPr>
        <w:numPr>
          <w:ilvl w:val="0"/>
          <w:numId w:val="2"/>
        </w:numPr>
        <w:tabs>
          <w:tab w:val="left" w:pos="255"/>
        </w:tabs>
        <w:spacing w:line="360" w:lineRule="auto"/>
        <w:rPr>
          <w:rFonts w:ascii="宋体" w:hAnsi="宋体"/>
          <w:color w:val="auto"/>
          <w:sz w:val="24"/>
          <w:szCs w:val="24"/>
          <w:highlight w:val="none"/>
          <w:lang w:val="zh-CN"/>
        </w:rPr>
      </w:pPr>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p>
    <w:bookmarkEnd w:id="15"/>
    <w:p>
      <w:pPr>
        <w:spacing w:line="360" w:lineRule="auto"/>
        <w:ind w:firstLine="482" w:firstLineChars="200"/>
        <w:rPr>
          <w:rFonts w:ascii="宋体" w:hAnsi="宋体"/>
          <w:bCs/>
          <w:color w:val="auto"/>
          <w:sz w:val="24"/>
          <w:szCs w:val="24"/>
          <w:highlight w:val="none"/>
          <w:lang w:val="zh-CN"/>
        </w:rPr>
      </w:pPr>
      <w:r>
        <w:rPr>
          <w:rFonts w:hint="eastAsia" w:ascii="宋体" w:hAnsi="宋体"/>
          <w:b/>
          <w:color w:val="auto"/>
          <w:sz w:val="24"/>
          <w:szCs w:val="24"/>
          <w:highlight w:val="none"/>
        </w:rPr>
        <w:t>上述（1）-（</w:t>
      </w:r>
      <w:r>
        <w:rPr>
          <w:rFonts w:hint="eastAsia" w:ascii="仿宋" w:hAnsi="仿宋" w:eastAsia="仿宋"/>
          <w:b/>
          <w:color w:val="auto"/>
          <w:sz w:val="24"/>
          <w:szCs w:val="24"/>
          <w:highlight w:val="none"/>
        </w:rPr>
        <w:t>6</w:t>
      </w:r>
      <w:r>
        <w:rPr>
          <w:rFonts w:hint="eastAsia" w:ascii="宋体" w:hAnsi="宋体"/>
          <w:b/>
          <w:color w:val="auto"/>
          <w:sz w:val="24"/>
          <w:szCs w:val="24"/>
          <w:highlight w:val="none"/>
        </w:rPr>
        <w:t>）项投标人必须按要求全部提供，否则投标无效。若要求提供原件的，投标人应在提交投标文件截止时间之前将相关原件或公证件与投标文件一并提交。</w:t>
      </w:r>
      <w:r>
        <w:rPr>
          <w:rFonts w:hint="eastAsia" w:ascii="宋体" w:hAnsi="宋体"/>
          <w:bCs/>
          <w:color w:val="auto"/>
          <w:sz w:val="24"/>
          <w:szCs w:val="24"/>
          <w:highlight w:val="none"/>
        </w:rPr>
        <w:t>如上述证明文件遇年检、换证，则必须提供法定年检、换证单位出具的有效证明复印件，原件一并提交。如上述“（3）资格证明文件”第</w:t>
      </w:r>
      <w:r>
        <w:rPr>
          <w:rFonts w:hint="eastAsia" w:ascii="仿宋" w:hAnsi="仿宋" w:eastAsia="仿宋" w:cs="仿宋"/>
          <w:bCs/>
          <w:color w:val="auto"/>
          <w:sz w:val="24"/>
          <w:szCs w:val="24"/>
          <w:highlight w:val="none"/>
        </w:rPr>
        <w:t>④、⑤</w:t>
      </w:r>
      <w:r>
        <w:rPr>
          <w:rFonts w:hint="eastAsia" w:ascii="宋体" w:hAnsi="宋体"/>
          <w:bCs/>
          <w:color w:val="auto"/>
          <w:sz w:val="24"/>
          <w:szCs w:val="24"/>
          <w:highlight w:val="none"/>
        </w:rPr>
        <w:t>项，依法免税或</w:t>
      </w:r>
      <w:bookmarkStart w:id="22" w:name="OLE_LINK19"/>
      <w:r>
        <w:rPr>
          <w:rFonts w:hint="eastAsia" w:ascii="宋体" w:hAnsi="宋体"/>
          <w:bCs/>
          <w:color w:val="auto"/>
          <w:sz w:val="24"/>
          <w:szCs w:val="24"/>
          <w:highlight w:val="none"/>
        </w:rPr>
        <w:t>不需要缴纳社会保障资金</w:t>
      </w:r>
      <w:bookmarkEnd w:id="22"/>
      <w:r>
        <w:rPr>
          <w:rFonts w:hint="eastAsia" w:ascii="宋体" w:hAnsi="宋体"/>
          <w:bCs/>
          <w:color w:val="auto"/>
          <w:sz w:val="24"/>
          <w:szCs w:val="24"/>
          <w:highlight w:val="none"/>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8、投标文件的制作及密封</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8.1 </w:t>
      </w:r>
      <w:r>
        <w:rPr>
          <w:rFonts w:hint="eastAsia" w:ascii="宋体" w:hAnsi="宋体"/>
          <w:bCs/>
          <w:color w:val="auto"/>
          <w:sz w:val="24"/>
          <w:szCs w:val="24"/>
          <w:highlight w:val="none"/>
          <w:lang w:val="zh-CN"/>
        </w:rPr>
        <w:t>所有文件、往来函件均应使用简体中文（规格、型号辅助符号例外）。</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8.2 </w:t>
      </w:r>
      <w:r>
        <w:rPr>
          <w:rFonts w:hint="eastAsia" w:ascii="宋体" w:hAnsi="宋体"/>
          <w:bCs/>
          <w:color w:val="auto"/>
          <w:sz w:val="24"/>
          <w:szCs w:val="24"/>
          <w:highlight w:val="none"/>
          <w:lang w:val="zh-CN"/>
        </w:rPr>
        <w:t>投标人所使用的计量单位应为国家法定计量单位。</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8.3 投标文件由投标人按要求参考给定格式如实填写（编写），格式中有盖章和签名要求的，须加盖投标人公章、并由法定代表人或被授权代表人签名。其中，正本上加盖的公章应为红章。</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8.4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如投标人对招标文件的相关内容有不同意见的偏离，应在投标文件中详细说明偏离的情况，如未明确作出偏离情况的说明，则视同</w:t>
      </w:r>
      <w:r>
        <w:rPr>
          <w:rFonts w:hint="eastAsia" w:ascii="宋体" w:hAnsi="宋体"/>
          <w:bCs/>
          <w:color w:val="auto"/>
          <w:sz w:val="24"/>
          <w:szCs w:val="24"/>
          <w:highlight w:val="none"/>
        </w:rPr>
        <w:t>投标人同意招标文件的要求。</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8</w:t>
      </w:r>
      <w:r>
        <w:rPr>
          <w:rFonts w:hint="eastAsia" w:ascii="宋体" w:hAnsi="宋体"/>
          <w:color w:val="auto"/>
          <w:sz w:val="24"/>
          <w:szCs w:val="28"/>
          <w:highlight w:val="none"/>
        </w:rPr>
        <w:t>.5 投标文件不应有涂改、增删和潦草之处，如有必须修改时，修改处须有投标人公章和法定代表人或被授权代表人签字。</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8.6 投标文件应按照“投标文件的组成”顺序</w:t>
      </w:r>
      <w:r>
        <w:rPr>
          <w:rFonts w:hint="eastAsia" w:ascii="宋体" w:hAnsi="宋体"/>
          <w:bCs/>
          <w:color w:val="auto"/>
          <w:sz w:val="24"/>
          <w:szCs w:val="24"/>
          <w:highlight w:val="none"/>
          <w:lang w:val="zh-CN"/>
        </w:rPr>
        <w:t>统一用A4规格幅面打印、装订成册，</w:t>
      </w:r>
      <w:r>
        <w:rPr>
          <w:rFonts w:hint="eastAsia" w:ascii="宋体" w:hAnsi="宋体"/>
          <w:bCs/>
          <w:color w:val="auto"/>
          <w:sz w:val="24"/>
          <w:szCs w:val="24"/>
          <w:highlight w:val="none"/>
        </w:rPr>
        <w:t>并注明“正本”、“副本”字样</w:t>
      </w:r>
      <w:r>
        <w:rPr>
          <w:rFonts w:hint="eastAsia" w:ascii="宋体" w:hAnsi="宋体"/>
          <w:bCs/>
          <w:color w:val="auto"/>
          <w:sz w:val="24"/>
          <w:szCs w:val="24"/>
          <w:highlight w:val="none"/>
          <w:lang w:val="zh-CN"/>
        </w:rPr>
        <w:t>，由于编排混乱导致投标文件被误读或查找不到，责任由投标人承担。</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8.7 投标人应该将投标文件密封，同时注明投标人名称。</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9、投标文件的真实性</w:t>
      </w:r>
    </w:p>
    <w:p>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rPr>
        <w:t>9.1 投标人（含中标供应商）应对其投标文件中提供的所有材料的真实性负责。</w:t>
      </w:r>
    </w:p>
    <w:p>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rPr>
        <w:t>9.2 如</w:t>
      </w:r>
      <w:bookmarkStart w:id="23" w:name="OLE_LINK45"/>
      <w:r>
        <w:rPr>
          <w:rFonts w:hint="eastAsia" w:ascii="宋体" w:hAnsi="宋体"/>
          <w:color w:val="auto"/>
          <w:sz w:val="24"/>
          <w:szCs w:val="28"/>
          <w:highlight w:val="none"/>
        </w:rPr>
        <w:t>采购人、</w:t>
      </w:r>
      <w:bookmarkEnd w:id="23"/>
      <w:r>
        <w:rPr>
          <w:rFonts w:hint="eastAsia" w:ascii="宋体" w:hAnsi="宋体"/>
          <w:color w:val="auto"/>
          <w:sz w:val="24"/>
          <w:szCs w:val="28"/>
          <w:highlight w:val="none"/>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10、投标文件的递交</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10.1 投标人须在招标文件规定的提交投标文件截止时间之前到指定地点提交投标文件，逾期不予受理。</w:t>
      </w:r>
    </w:p>
    <w:p>
      <w:pPr>
        <w:spacing w:line="360" w:lineRule="auto"/>
        <w:ind w:firstLine="472" w:firstLineChars="196"/>
        <w:rPr>
          <w:rFonts w:ascii="宋体" w:hAnsi="宋体"/>
          <w:b/>
          <w:color w:val="auto"/>
          <w:sz w:val="24"/>
          <w:szCs w:val="24"/>
          <w:highlight w:val="none"/>
        </w:rPr>
      </w:pPr>
      <w:r>
        <w:rPr>
          <w:rFonts w:hint="eastAsia" w:ascii="宋体" w:hAnsi="宋体"/>
          <w:b/>
          <w:color w:val="auto"/>
          <w:sz w:val="24"/>
          <w:szCs w:val="24"/>
          <w:highlight w:val="none"/>
        </w:rPr>
        <w:t>11、有下列情形之一的投标文件将拒收</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11.1 在招标文件要求提交投标文件的截止时间之后送达的；</w:t>
      </w:r>
    </w:p>
    <w:p>
      <w:pPr>
        <w:spacing w:line="360" w:lineRule="auto"/>
        <w:ind w:firstLine="480" w:firstLineChars="200"/>
        <w:rPr>
          <w:rFonts w:ascii="宋体" w:hAnsi="宋体" w:cs="宋体"/>
          <w:color w:val="auto"/>
          <w:sz w:val="24"/>
          <w:szCs w:val="24"/>
          <w:highlight w:val="none"/>
        </w:rPr>
      </w:pPr>
      <w:r>
        <w:rPr>
          <w:rFonts w:hint="eastAsia" w:ascii="宋体" w:hAnsi="宋体"/>
          <w:bCs/>
          <w:color w:val="auto"/>
          <w:sz w:val="24"/>
          <w:szCs w:val="24"/>
          <w:highlight w:val="none"/>
        </w:rPr>
        <w:t xml:space="preserve">11.2 </w:t>
      </w:r>
      <w:r>
        <w:rPr>
          <w:rFonts w:hint="eastAsia" w:ascii="宋体" w:hAnsi="宋体" w:cs="宋体"/>
          <w:color w:val="auto"/>
          <w:sz w:val="24"/>
          <w:szCs w:val="24"/>
          <w:highlight w:val="none"/>
        </w:rPr>
        <w:t>未按照招标文件要求密封的。</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12、投标文件的有效期</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12.1 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13、投标文件的退还</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13.1 投标人投标后，</w:t>
      </w:r>
      <w:r>
        <w:rPr>
          <w:rFonts w:hint="eastAsia" w:hAnsi="宋体"/>
          <w:bCs/>
          <w:color w:val="auto"/>
          <w:sz w:val="24"/>
          <w:szCs w:val="24"/>
          <w:highlight w:val="none"/>
          <w:lang w:eastAsia="zh-CN"/>
        </w:rPr>
        <w:t>江苏恒鸿建设咨询有限公司</w:t>
      </w:r>
      <w:r>
        <w:rPr>
          <w:rFonts w:hint="eastAsia" w:ascii="宋体" w:hAnsi="宋体"/>
          <w:bCs/>
          <w:color w:val="auto"/>
          <w:sz w:val="24"/>
          <w:szCs w:val="24"/>
          <w:highlight w:val="none"/>
        </w:rPr>
        <w:t>对所有投标人的投标文件一律不予退还。</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14、投标文件的修改和撤回</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14.1</w:t>
      </w:r>
      <w:r>
        <w:rPr>
          <w:rFonts w:hint="eastAsia" w:ascii="宋体" w:hAnsi="宋体"/>
          <w:bCs/>
          <w:color w:val="auto"/>
          <w:sz w:val="24"/>
          <w:szCs w:val="24"/>
          <w:highlight w:val="none"/>
          <w:lang w:val="zh-CN"/>
        </w:rPr>
        <w:t xml:space="preserve"> 投标人在投标截止时间前，可以对所递交的投标文件进行补充、修改或撤回，并书面通知江苏恒鸿建设咨询有限公司。补充、修改的内容应当按照招标文件要求签署、盖章、密封后，并作为投标文件的组成部分。</w:t>
      </w:r>
    </w:p>
    <w:p>
      <w:pPr>
        <w:spacing w:line="360" w:lineRule="auto"/>
        <w:rPr>
          <w:rFonts w:ascii="宋体" w:hAnsi="宋体"/>
          <w:b/>
          <w:color w:val="auto"/>
          <w:sz w:val="24"/>
          <w:szCs w:val="24"/>
          <w:highlight w:val="none"/>
          <w:lang w:val="zh-CN"/>
        </w:rPr>
      </w:pPr>
      <w:r>
        <w:rPr>
          <w:rFonts w:hint="eastAsia" w:ascii="宋体" w:hAnsi="宋体"/>
          <w:b/>
          <w:color w:val="auto"/>
          <w:sz w:val="24"/>
          <w:szCs w:val="24"/>
          <w:highlight w:val="none"/>
        </w:rPr>
        <w:t xml:space="preserve">     15、</w:t>
      </w:r>
      <w:r>
        <w:rPr>
          <w:rFonts w:hint="eastAsia" w:ascii="宋体" w:hAnsi="宋体"/>
          <w:b/>
          <w:color w:val="auto"/>
          <w:sz w:val="24"/>
          <w:szCs w:val="24"/>
          <w:highlight w:val="none"/>
          <w:lang w:val="zh-CN"/>
        </w:rPr>
        <w:t>无效投标的确认</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15.1 </w:t>
      </w:r>
      <w:r>
        <w:rPr>
          <w:rFonts w:hint="eastAsia" w:ascii="宋体" w:hAnsi="宋体"/>
          <w:bCs/>
          <w:color w:val="auto"/>
          <w:sz w:val="24"/>
          <w:szCs w:val="24"/>
          <w:highlight w:val="none"/>
          <w:lang w:val="zh-CN"/>
        </w:rPr>
        <w:t>投标人有下列情况之一者，其投标无效：</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未按照招标文件的规定提交投标保证金的；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投标文件未按招标文件要求签署、盖章的；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不具备招标文件投标邀请函中“2.1投标人参加本次采购活动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投标文件未满足“投标文件制作”要求的；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单个细项或整个项目的报价不明确，出现选择性报价的；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出现前后不一致，且投标人拒绝修正的；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投标文件含有采购人不能接受的附加条件的；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评标委员会认为投标人的报价明显低于其他通过符合性审查投标人的报价，有可能影响产品质量或者不能诚信履约，且投标人不能证明其报价合理性的；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与其他投标人恶意串通的，包括但不限于以下几种情况：</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不同投标人的投标文件由同一单位或者个人编制</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不同投标人委托同一单位或者个人办理投标事宜</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不同投标人的投标文件载明的项目管理成员或者联系人员为同一人</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不同投标人的投标文件异常一致或者投标报价呈规律性差异</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不同投标人的投标文件相互混装</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不同投标人的投标保证金从同一单位或者个人的账户转出</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提供虚假材料的（包括工商营业执照、资格证明文件等）；</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投标文件内容不全、自相矛盾或不符合法律法规和招标文件中规定的其它实质性要求的；</w:t>
      </w:r>
    </w:p>
    <w:p>
      <w:pPr>
        <w:numPr>
          <w:ilvl w:val="0"/>
          <w:numId w:val="5"/>
        </w:numPr>
        <w:tabs>
          <w:tab w:val="left" w:pos="425"/>
        </w:tabs>
        <w:spacing w:line="360" w:lineRule="auto"/>
        <w:rPr>
          <w:rFonts w:ascii="宋体" w:hAnsi="宋体" w:eastAsia="宋体" w:cs="宋体"/>
          <w:color w:val="auto"/>
          <w:sz w:val="24"/>
          <w:szCs w:val="24"/>
          <w:highlight w:val="none"/>
        </w:rPr>
      </w:pPr>
      <w:r>
        <w:rPr>
          <w:rFonts w:hint="eastAsia" w:ascii="宋体" w:hAnsi="宋体"/>
          <w:bCs/>
          <w:color w:val="auto"/>
          <w:sz w:val="24"/>
          <w:szCs w:val="24"/>
          <w:highlight w:val="none"/>
          <w:lang w:val="zh-CN"/>
        </w:rPr>
        <w:t>法律</w:t>
      </w:r>
      <w:r>
        <w:rPr>
          <w:rFonts w:hint="eastAsia" w:ascii="宋体" w:hAnsi="宋体" w:cs="宋体"/>
          <w:color w:val="auto"/>
          <w:sz w:val="24"/>
          <w:szCs w:val="24"/>
          <w:highlight w:val="none"/>
        </w:rPr>
        <w:t>、法规和招标文件规定的其他无效情形</w:t>
      </w:r>
      <w:r>
        <w:rPr>
          <w:rFonts w:hint="eastAsia" w:ascii="宋体" w:hAnsi="宋体"/>
          <w:bCs/>
          <w:color w:val="auto"/>
          <w:sz w:val="24"/>
          <w:szCs w:val="24"/>
          <w:highlight w:val="none"/>
          <w:lang w:val="zh-CN"/>
        </w:rPr>
        <w:t>。</w:t>
      </w:r>
    </w:p>
    <w:p>
      <w:pPr>
        <w:spacing w:line="360" w:lineRule="auto"/>
        <w:ind w:firstLine="590" w:firstLineChars="245"/>
        <w:rPr>
          <w:rFonts w:ascii="宋体" w:hAnsi="宋体" w:cs="宋体"/>
          <w:b/>
          <w:color w:val="auto"/>
          <w:sz w:val="24"/>
          <w:szCs w:val="24"/>
          <w:highlight w:val="none"/>
        </w:rPr>
      </w:pPr>
      <w:r>
        <w:rPr>
          <w:rFonts w:hint="eastAsia" w:ascii="宋体" w:hAnsi="宋体"/>
          <w:b/>
          <w:color w:val="auto"/>
          <w:sz w:val="24"/>
          <w:szCs w:val="24"/>
          <w:highlight w:val="none"/>
        </w:rPr>
        <w:t>四、联合体投标、</w:t>
      </w:r>
      <w:r>
        <w:rPr>
          <w:rFonts w:hint="eastAsia" w:ascii="宋体" w:hAnsi="宋体" w:cs="宋体"/>
          <w:b/>
          <w:color w:val="auto"/>
          <w:sz w:val="24"/>
          <w:szCs w:val="24"/>
          <w:highlight w:val="none"/>
        </w:rPr>
        <w:t>中标后分包</w:t>
      </w:r>
    </w:p>
    <w:p>
      <w:pPr>
        <w:spacing w:line="360" w:lineRule="auto"/>
        <w:ind w:firstLine="482" w:firstLineChars="200"/>
        <w:rPr>
          <w:rFonts w:ascii="宋体" w:hAnsi="宋体"/>
          <w:b/>
          <w:bCs/>
          <w:color w:val="auto"/>
          <w:sz w:val="24"/>
          <w:szCs w:val="24"/>
          <w:highlight w:val="none"/>
        </w:rPr>
      </w:pPr>
      <w:bookmarkStart w:id="24" w:name="OLE_LINK96"/>
      <w:r>
        <w:rPr>
          <w:rFonts w:hint="eastAsia" w:ascii="宋体" w:hAnsi="宋体"/>
          <w:b/>
          <w:bCs/>
          <w:color w:val="auto"/>
          <w:sz w:val="24"/>
          <w:szCs w:val="24"/>
          <w:highlight w:val="none"/>
        </w:rPr>
        <w:t>16、不接受联合体投标、不接受中标后分包。</w:t>
      </w:r>
      <w:bookmarkEnd w:id="24"/>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开标、评标、定标、废标</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17、开标</w:t>
      </w:r>
    </w:p>
    <w:p>
      <w:pPr>
        <w:spacing w:line="360" w:lineRule="auto"/>
        <w:ind w:firstLine="480" w:firstLineChars="200"/>
        <w:rPr>
          <w:rFonts w:ascii="宋体" w:hAnsi="宋体"/>
          <w:b/>
          <w:color w:val="auto"/>
          <w:sz w:val="24"/>
          <w:szCs w:val="24"/>
          <w:highlight w:val="none"/>
          <w:lang w:val="zh-CN"/>
        </w:rPr>
      </w:pPr>
      <w:r>
        <w:rPr>
          <w:rFonts w:hint="eastAsia" w:ascii="宋体" w:hAnsi="宋体"/>
          <w:bCs/>
          <w:color w:val="auto"/>
          <w:sz w:val="24"/>
          <w:szCs w:val="24"/>
          <w:highlight w:val="none"/>
        </w:rPr>
        <w:t xml:space="preserve">17.1 </w:t>
      </w:r>
      <w:r>
        <w:rPr>
          <w:rFonts w:hint="eastAsia" w:ascii="宋体" w:hAnsi="宋体"/>
          <w:bCs/>
          <w:color w:val="auto"/>
          <w:sz w:val="24"/>
          <w:szCs w:val="24"/>
          <w:highlight w:val="none"/>
          <w:lang w:val="zh-CN"/>
        </w:rPr>
        <w:t>采购人按招标文件规定的时间在</w:t>
      </w:r>
      <w:r>
        <w:rPr>
          <w:rFonts w:hint="eastAsia" w:ascii="宋体" w:hAnsi="宋体"/>
          <w:bCs/>
          <w:color w:val="auto"/>
          <w:sz w:val="24"/>
          <w:szCs w:val="24"/>
          <w:highlight w:val="none"/>
        </w:rPr>
        <w:t>指定地点</w:t>
      </w:r>
      <w:r>
        <w:rPr>
          <w:rFonts w:hint="eastAsia" w:ascii="宋体" w:hAnsi="宋体"/>
          <w:bCs/>
          <w:color w:val="auto"/>
          <w:sz w:val="24"/>
          <w:szCs w:val="24"/>
          <w:highlight w:val="none"/>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17</w:t>
      </w:r>
      <w:r>
        <w:rPr>
          <w:rFonts w:hint="eastAsia" w:ascii="宋体" w:hAnsi="宋体"/>
          <w:bCs/>
          <w:color w:val="auto"/>
          <w:sz w:val="24"/>
          <w:szCs w:val="24"/>
          <w:highlight w:val="none"/>
          <w:lang w:val="zh-CN"/>
        </w:rPr>
        <w:t>.2  开标过程由采购人或者采购代理机构负责记录，由参加开标的各投标人代表和相关工作人员签字确认后随采购文件一并存档。投标人未参加开标的，视同认可开标结果。</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17.3 投标人对开标过程和开标记录有疑义，以及认为采购人、采购代理机构相关工作人员有需要回避的情形的，应当场提出询问或者回避申请。</w:t>
      </w:r>
      <w:bookmarkStart w:id="25"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评标委员会做出认定</w:t>
      </w:r>
      <w:bookmarkEnd w:id="25"/>
      <w:r>
        <w:rPr>
          <w:rFonts w:hint="eastAsia" w:ascii="宋体" w:hAnsi="宋体"/>
          <w:bCs/>
          <w:color w:val="auto"/>
          <w:sz w:val="24"/>
          <w:szCs w:val="24"/>
          <w:highlight w:val="none"/>
          <w:lang w:val="zh-CN"/>
        </w:rPr>
        <w:t>；若未进入评审环节，不需要做出认定。</w:t>
      </w:r>
    </w:p>
    <w:p>
      <w:pPr>
        <w:spacing w:line="360" w:lineRule="auto"/>
        <w:ind w:firstLine="482" w:firstLineChars="200"/>
        <w:rPr>
          <w:rFonts w:ascii="宋体" w:hAnsi="宋体"/>
          <w:b/>
          <w:color w:val="auto"/>
          <w:sz w:val="24"/>
          <w:szCs w:val="24"/>
          <w:highlight w:val="none"/>
        </w:rPr>
      </w:pPr>
      <w:bookmarkStart w:id="26" w:name="OLE_LINK18"/>
      <w:r>
        <w:rPr>
          <w:rFonts w:hint="eastAsia" w:ascii="宋体" w:hAnsi="宋体"/>
          <w:b/>
          <w:color w:val="auto"/>
          <w:sz w:val="24"/>
          <w:szCs w:val="24"/>
          <w:highlight w:val="none"/>
        </w:rPr>
        <w:t>18、评标</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18.1 具体评标事务由采购人依法组建的评标委员会负责。</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18.2 开标结束后，评标委员会</w:t>
      </w:r>
      <w:r>
        <w:rPr>
          <w:rFonts w:hint="eastAsia" w:ascii="宋体" w:hAnsi="宋体" w:cs="宋体"/>
          <w:color w:val="auto"/>
          <w:sz w:val="24"/>
          <w:szCs w:val="24"/>
          <w:highlight w:val="none"/>
        </w:rPr>
        <w:t>对投标人投标截止时间之前的信用情况进行查询并按照本须知“7、投标文件的组成”中“（3）资格证明文件”的要求依法对投标人的资格进行审查。</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18.3 评标委员会对符合资格的投标人的投标文件进行符合性审查，以确定其是否满足招标文件的实质性要求。</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18.4</w:t>
      </w:r>
      <w:r>
        <w:rPr>
          <w:rFonts w:hint="eastAsia" w:ascii="宋体" w:hAnsi="宋体"/>
          <w:b/>
          <w:color w:val="auto"/>
          <w:sz w:val="24"/>
          <w:szCs w:val="24"/>
          <w:highlight w:val="none"/>
        </w:rPr>
        <w:t xml:space="preserve"> 澄清有关问题。</w:t>
      </w:r>
      <w:r>
        <w:rPr>
          <w:rFonts w:hint="eastAsia" w:ascii="宋体" w:hAnsi="宋体" w:cs="宋体"/>
          <w:color w:val="auto"/>
          <w:sz w:val="24"/>
          <w:szCs w:val="24"/>
          <w:highlight w:val="none"/>
        </w:rPr>
        <w:t>对投标文件中含义不明确、同类问题表述不一致或者有明显文字和计算错误的内容</w:t>
      </w:r>
      <w:r>
        <w:rPr>
          <w:rFonts w:hint="eastAsia" w:ascii="宋体" w:hAnsi="宋体"/>
          <w:bCs/>
          <w:color w:val="auto"/>
          <w:sz w:val="24"/>
          <w:szCs w:val="24"/>
          <w:highlight w:val="none"/>
        </w:rPr>
        <w:t>，</w:t>
      </w:r>
      <w:r>
        <w:rPr>
          <w:rFonts w:hint="eastAsia" w:ascii="宋体" w:hAnsi="宋体" w:cs="宋体"/>
          <w:color w:val="auto"/>
          <w:sz w:val="24"/>
          <w:szCs w:val="24"/>
          <w:highlight w:val="none"/>
        </w:rPr>
        <w:t>评标委员会应当以书面形式要求投标人作出必要的澄清、说明或者补正</w:t>
      </w:r>
      <w:r>
        <w:rPr>
          <w:rFonts w:hint="eastAsia" w:ascii="宋体" w:hAnsi="宋体"/>
          <w:bCs/>
          <w:color w:val="auto"/>
          <w:sz w:val="24"/>
          <w:szCs w:val="24"/>
          <w:highlight w:val="none"/>
        </w:rPr>
        <w:t>。</w:t>
      </w:r>
      <w:r>
        <w:rPr>
          <w:rFonts w:hint="eastAsia" w:ascii="宋体" w:hAnsi="宋体" w:cs="宋体"/>
          <w:color w:val="auto"/>
          <w:sz w:val="24"/>
          <w:szCs w:val="24"/>
          <w:highlight w:val="none"/>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color w:val="auto"/>
          <w:sz w:val="24"/>
          <w:szCs w:val="24"/>
          <w:highlight w:val="none"/>
        </w:rPr>
        <w:t>对不同文字文本投标文件的解释发生异议的，以中文文本为准；正本与副本不符，以正本为准。</w:t>
      </w:r>
    </w:p>
    <w:p>
      <w:pPr>
        <w:spacing w:line="360" w:lineRule="auto"/>
        <w:ind w:firstLine="480" w:firstLineChars="200"/>
        <w:rPr>
          <w:rFonts w:ascii="宋体" w:hAnsi="宋体"/>
          <w:bCs/>
          <w:color w:val="auto"/>
          <w:sz w:val="24"/>
          <w:highlight w:val="none"/>
        </w:rPr>
      </w:pPr>
      <w:r>
        <w:rPr>
          <w:rFonts w:hint="eastAsia" w:ascii="宋体" w:hAnsi="宋体"/>
          <w:bCs/>
          <w:color w:val="auto"/>
          <w:sz w:val="24"/>
          <w:szCs w:val="24"/>
          <w:highlight w:val="none"/>
        </w:rPr>
        <w:t xml:space="preserve">18.5 </w:t>
      </w:r>
      <w:r>
        <w:rPr>
          <w:rFonts w:hint="eastAsia" w:ascii="宋体" w:hAnsi="宋体"/>
          <w:b/>
          <w:color w:val="auto"/>
          <w:sz w:val="24"/>
          <w:szCs w:val="24"/>
          <w:highlight w:val="none"/>
        </w:rPr>
        <w:t>比</w:t>
      </w:r>
      <w:r>
        <w:rPr>
          <w:rFonts w:hint="eastAsia" w:ascii="宋体" w:hAnsi="宋体"/>
          <w:b/>
          <w:color w:val="auto"/>
          <w:sz w:val="24"/>
          <w:highlight w:val="none"/>
        </w:rPr>
        <w:t>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color w:val="auto"/>
          <w:sz w:val="24"/>
          <w:highlight w:val="none"/>
        </w:rPr>
      </w:pPr>
      <w:r>
        <w:rPr>
          <w:rFonts w:hint="eastAsia" w:ascii="宋体" w:hAnsi="宋体"/>
          <w:bCs/>
          <w:color w:val="auto"/>
          <w:sz w:val="24"/>
          <w:highlight w:val="none"/>
        </w:rPr>
        <w:t>18.</w:t>
      </w:r>
      <w:r>
        <w:rPr>
          <w:rFonts w:hint="eastAsia" w:ascii="宋体"/>
          <w:bCs/>
          <w:color w:val="auto"/>
          <w:sz w:val="24"/>
          <w:szCs w:val="24"/>
          <w:highlight w:val="none"/>
        </w:rPr>
        <w:t xml:space="preserve">6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。本次招标采用综合评分法。</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w:t>
      </w:r>
      <w:r>
        <w:rPr>
          <w:rFonts w:hint="eastAsia" w:ascii="宋体" w:hAnsi="宋体"/>
          <w:bCs/>
          <w:color w:val="auto"/>
          <w:sz w:val="24"/>
          <w:szCs w:val="24"/>
          <w:highlight w:val="none"/>
        </w:rPr>
        <w:t>1</w:t>
      </w:r>
      <w:r>
        <w:rPr>
          <w:rFonts w:hint="eastAsia" w:ascii="宋体" w:hAnsi="宋体"/>
          <w:bCs/>
          <w:color w:val="auto"/>
          <w:sz w:val="24"/>
          <w:szCs w:val="24"/>
          <w:highlight w:val="none"/>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color w:val="auto"/>
          <w:sz w:val="24"/>
          <w:highlight w:val="none"/>
        </w:rPr>
      </w:pPr>
      <w:r>
        <w:rPr>
          <w:rFonts w:hint="eastAsia" w:ascii="宋体" w:hAnsi="宋体"/>
          <w:bCs/>
          <w:color w:val="auto"/>
          <w:sz w:val="24"/>
          <w:highlight w:val="none"/>
        </w:rPr>
        <w:t>（2）投标文件报价出现前后不一致的，除招标文件另有规定外，按照下列规定修正：</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大写金额和小写金额不一致的，以大写金额为准；</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pPr>
        <w:tabs>
          <w:tab w:val="left" w:pos="945"/>
        </w:tabs>
        <w:spacing w:line="360" w:lineRule="auto"/>
        <w:ind w:firstLine="420" w:firstLineChars="175"/>
        <w:rPr>
          <w:rFonts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pPr>
        <w:tabs>
          <w:tab w:val="left" w:pos="945"/>
        </w:tabs>
        <w:spacing w:line="360" w:lineRule="auto"/>
        <w:ind w:firstLine="420" w:firstLineChars="175"/>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在评审中出现下列情形之一的，评审委员会将启动异常低价投标审查程序：</w:t>
      </w:r>
    </w:p>
    <w:p>
      <w:pPr>
        <w:tabs>
          <w:tab w:val="left" w:pos="945"/>
        </w:tabs>
        <w:spacing w:line="360" w:lineRule="auto"/>
        <w:ind w:firstLine="420" w:firstLineChars="175"/>
        <w:rPr>
          <w:rFonts w:hint="eastAsia" w:ascii="宋体" w:hAnsi="宋体" w:cs="宋体"/>
          <w:color w:val="auto"/>
          <w:sz w:val="24"/>
          <w:szCs w:val="24"/>
          <w:highlight w:val="none"/>
        </w:rPr>
      </w:pPr>
      <w:r>
        <w:rPr>
          <w:rFonts w:hint="eastAsia" w:ascii="宋体" w:hAnsi="宋体" w:cs="宋体"/>
          <w:color w:val="auto"/>
          <w:sz w:val="24"/>
          <w:szCs w:val="24"/>
          <w:highlight w:val="none"/>
        </w:rPr>
        <w:t>①报价低于全部通过符合性审查供应商报价平均值50%的，即报价&lt;全部通过符合性审查供应商报价平均值×50%；</w:t>
      </w:r>
    </w:p>
    <w:p>
      <w:pPr>
        <w:tabs>
          <w:tab w:val="left" w:pos="945"/>
        </w:tabs>
        <w:spacing w:line="360" w:lineRule="auto"/>
        <w:ind w:firstLine="420" w:firstLineChars="175"/>
        <w:rPr>
          <w:rFonts w:hint="eastAsia" w:ascii="宋体" w:hAnsi="宋体" w:cs="宋体"/>
          <w:color w:val="auto"/>
          <w:sz w:val="24"/>
          <w:szCs w:val="24"/>
          <w:highlight w:val="none"/>
        </w:rPr>
      </w:pPr>
      <w:r>
        <w:rPr>
          <w:rFonts w:hint="eastAsia" w:ascii="宋体" w:hAnsi="宋体" w:cs="宋体"/>
          <w:color w:val="auto"/>
          <w:sz w:val="24"/>
          <w:szCs w:val="24"/>
          <w:highlight w:val="none"/>
        </w:rPr>
        <w:t>②报价低于通过符合性审查且报价次低供应商报价50%的，即报价&lt;通过符合性审查且报价次低供应商报价×50%；</w:t>
      </w:r>
    </w:p>
    <w:p>
      <w:pPr>
        <w:tabs>
          <w:tab w:val="left" w:pos="945"/>
        </w:tabs>
        <w:spacing w:line="360" w:lineRule="auto"/>
        <w:ind w:firstLine="420" w:firstLineChars="175"/>
        <w:rPr>
          <w:rFonts w:hint="eastAsia" w:ascii="宋体" w:hAnsi="宋体" w:cs="宋体"/>
          <w:color w:val="auto"/>
          <w:sz w:val="24"/>
          <w:szCs w:val="24"/>
          <w:highlight w:val="none"/>
        </w:rPr>
      </w:pPr>
      <w:r>
        <w:rPr>
          <w:rFonts w:hint="eastAsia" w:ascii="宋体" w:hAnsi="宋体" w:cs="宋体"/>
          <w:color w:val="auto"/>
          <w:sz w:val="24"/>
          <w:szCs w:val="24"/>
          <w:highlight w:val="none"/>
        </w:rPr>
        <w:t>③报价低于采购项目最高限价45%的，即报价&lt;采购项目最高限价×45%；</w:t>
      </w:r>
    </w:p>
    <w:p>
      <w:pPr>
        <w:tabs>
          <w:tab w:val="left" w:pos="945"/>
        </w:tabs>
        <w:spacing w:line="360" w:lineRule="auto"/>
        <w:ind w:firstLine="420" w:firstLineChars="175"/>
        <w:rPr>
          <w:rFonts w:hint="eastAsia" w:ascii="宋体" w:hAnsi="宋体" w:cs="宋体"/>
          <w:color w:val="auto"/>
          <w:sz w:val="24"/>
          <w:szCs w:val="24"/>
          <w:highlight w:val="none"/>
        </w:rPr>
      </w:pPr>
      <w:r>
        <w:rPr>
          <w:rFonts w:hint="eastAsia" w:ascii="宋体" w:hAnsi="宋体" w:cs="宋体"/>
          <w:color w:val="auto"/>
          <w:sz w:val="24"/>
          <w:szCs w:val="24"/>
          <w:highlight w:val="none"/>
        </w:rPr>
        <w:t>④其他评审委员会认为供应商报价过低，有可能影响产品质量或者不能诚信履约的情形。</w:t>
      </w:r>
    </w:p>
    <w:p>
      <w:pPr>
        <w:spacing w:line="360" w:lineRule="auto"/>
        <w:ind w:firstLine="480" w:firstLineChars="200"/>
        <w:rPr>
          <w:rFonts w:hint="eastAsia" w:ascii="宋体" w:hAnsi="宋体"/>
          <w:bCs/>
          <w:color w:val="auto"/>
          <w:sz w:val="24"/>
          <w:highlight w:val="none"/>
        </w:rPr>
      </w:pPr>
      <w:r>
        <w:rPr>
          <w:rFonts w:hint="eastAsia" w:ascii="宋体" w:hAnsi="宋体" w:cs="宋体"/>
          <w:color w:val="auto"/>
          <w:sz w:val="24"/>
          <w:szCs w:val="24"/>
          <w:highlight w:val="none"/>
        </w:rPr>
        <w:t>评审委员会启动异常低价投标审查后，将要求相关供应商在评审现场合理的时间内提供书面说明及必要的证明材料，对报价作出解释。书面说明、证明材料主要是项目具体成本测算等与报价合理性相关的说明、材料。审查相关情况在评审报告中予以记录。</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highlight w:val="none"/>
        </w:rPr>
        <w:t xml:space="preserve">18.7 </w:t>
      </w:r>
      <w:r>
        <w:rPr>
          <w:rFonts w:hint="eastAsia" w:ascii="宋体" w:hAnsi="宋体"/>
          <w:bCs/>
          <w:color w:val="auto"/>
          <w:sz w:val="24"/>
          <w:szCs w:val="24"/>
          <w:highlight w:val="none"/>
          <w:lang w:val="zh-CN"/>
        </w:rPr>
        <w:t>评标委员会根据评审结果，完成评审报告的制作。</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highlight w:val="none"/>
        </w:rPr>
        <w:t>18.8 采购人或</w:t>
      </w:r>
      <w:r>
        <w:rPr>
          <w:rFonts w:hint="eastAsia" w:ascii="宋体" w:hAnsi="宋体"/>
          <w:bCs/>
          <w:color w:val="auto"/>
          <w:sz w:val="24"/>
          <w:szCs w:val="24"/>
          <w:highlight w:val="none"/>
          <w:lang w:val="zh-CN"/>
        </w:rPr>
        <w:t>采购代理机构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bookmarkEnd w:id="26"/>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19、定标</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19.1</w:t>
      </w:r>
      <w:r>
        <w:rPr>
          <w:rFonts w:hint="eastAsia" w:ascii="宋体" w:hAnsi="宋体"/>
          <w:bCs/>
          <w:color w:val="auto"/>
          <w:sz w:val="24"/>
          <w:szCs w:val="24"/>
          <w:highlight w:val="none"/>
          <w:lang w:val="zh-CN"/>
        </w:rPr>
        <w:t>评审结束后，由采购人根据评审报告推荐的中标候选人中确定中标供应商。</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19.2 </w:t>
      </w:r>
      <w:r>
        <w:rPr>
          <w:rFonts w:hint="eastAsia" w:ascii="宋体" w:hAnsi="宋体"/>
          <w:bCs/>
          <w:color w:val="auto"/>
          <w:sz w:val="24"/>
          <w:szCs w:val="24"/>
          <w:highlight w:val="none"/>
          <w:lang w:val="zh-CN"/>
        </w:rPr>
        <w:t>采购人和采购代理机构向中标供应商发出中标通知书。</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20、投标截止后投标人不足3家，除采购任务取消情形外，按照以下方式处理：</w:t>
      </w:r>
    </w:p>
    <w:p>
      <w:pPr>
        <w:numPr>
          <w:ilvl w:val="0"/>
          <w:numId w:val="8"/>
        </w:numPr>
        <w:spacing w:line="360" w:lineRule="auto"/>
        <w:rPr>
          <w:rFonts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pPr>
        <w:numPr>
          <w:ilvl w:val="0"/>
          <w:numId w:val="8"/>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招标文件没有不合理条款、招标程序符合规定，需要采用其他采购方式采购的，由采购人决定是否需要采用其他采购方式采购。</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21、废标的确认</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21.1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因重大变故，采购任务取消。</w:t>
      </w:r>
    </w:p>
    <w:p>
      <w:pPr>
        <w:spacing w:line="360" w:lineRule="auto"/>
        <w:ind w:firstLine="482" w:firstLineChars="200"/>
        <w:rPr>
          <w:rFonts w:ascii="宋体" w:hAnsi="宋体"/>
          <w:b/>
          <w:bCs/>
          <w:color w:val="auto"/>
          <w:sz w:val="24"/>
          <w:szCs w:val="24"/>
          <w:highlight w:val="none"/>
        </w:rPr>
      </w:pPr>
      <w:r>
        <w:rPr>
          <w:rFonts w:hint="eastAsia" w:ascii="宋体" w:hAnsi="宋体"/>
          <w:b/>
          <w:bCs/>
          <w:color w:val="auto"/>
          <w:sz w:val="24"/>
          <w:szCs w:val="24"/>
          <w:highlight w:val="none"/>
        </w:rPr>
        <w:t>22、投标保证金</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22.1 </w:t>
      </w:r>
      <w:r>
        <w:rPr>
          <w:rFonts w:hint="eastAsia" w:ascii="宋体" w:hAnsi="宋体"/>
          <w:bCs/>
          <w:color w:val="auto"/>
          <w:sz w:val="24"/>
          <w:szCs w:val="24"/>
          <w:highlight w:val="none"/>
          <w:lang w:val="zh-CN"/>
        </w:rPr>
        <w:t>投标保证金应按照投标邀请规定的数额和办法交纳。</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22.</w:t>
      </w:r>
      <w:r>
        <w:rPr>
          <w:rFonts w:ascii="宋体" w:hAnsi="宋体"/>
          <w:bCs/>
          <w:color w:val="auto"/>
          <w:sz w:val="24"/>
          <w:szCs w:val="24"/>
          <w:highlight w:val="none"/>
        </w:rPr>
        <w:t>2</w:t>
      </w:r>
      <w:r>
        <w:rPr>
          <w:rFonts w:hint="eastAsia" w:ascii="宋体" w:hAnsi="宋体"/>
          <w:bCs/>
          <w:color w:val="auto"/>
          <w:sz w:val="24"/>
          <w:szCs w:val="24"/>
          <w:highlight w:val="none"/>
        </w:rPr>
        <w:t>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color w:val="auto"/>
          <w:sz w:val="24"/>
          <w:szCs w:val="24"/>
          <w:highlight w:val="none"/>
          <w:lang w:val="zh-CN"/>
        </w:rPr>
      </w:pP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1"/>
          <w:highlight w:val="none"/>
        </w:rPr>
        <w:t>宜兴市公用环保集团有限公司</w:t>
      </w:r>
      <w:r>
        <w:rPr>
          <w:rFonts w:hint="eastAsia" w:ascii="宋体" w:hAnsi="宋体"/>
          <w:bCs/>
          <w:color w:val="auto"/>
          <w:sz w:val="24"/>
          <w:szCs w:val="24"/>
          <w:highlight w:val="none"/>
          <w:lang w:val="zh-CN"/>
        </w:rPr>
        <w:t>联系办理退还事宜。</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22.</w:t>
      </w:r>
      <w:r>
        <w:rPr>
          <w:rFonts w:ascii="宋体" w:hAnsi="宋体"/>
          <w:bCs/>
          <w:color w:val="auto"/>
          <w:sz w:val="24"/>
          <w:szCs w:val="24"/>
          <w:highlight w:val="none"/>
        </w:rPr>
        <w:t>3</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投标人有下列情形之一的，其交纳的投标保证金不予退还：</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除因不可抗力或招标文件认可的情形以外，中标供应商不与采购人签订合同的；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与采购人、其他投标人或者采购代理机构恶意串通的；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招标文件规定的其他情形。</w:t>
      </w:r>
    </w:p>
    <w:p>
      <w:pPr>
        <w:numPr>
          <w:ilvl w:val="0"/>
          <w:numId w:val="11"/>
        </w:numPr>
        <w:spacing w:line="360" w:lineRule="auto"/>
        <w:rPr>
          <w:rFonts w:ascii="宋体" w:hAnsi="宋体"/>
          <w:b/>
          <w:color w:val="auto"/>
          <w:sz w:val="24"/>
          <w:szCs w:val="24"/>
          <w:highlight w:val="none"/>
        </w:rPr>
      </w:pPr>
      <w:r>
        <w:rPr>
          <w:rFonts w:hint="eastAsia" w:ascii="宋体" w:hAnsi="宋体"/>
          <w:b/>
          <w:color w:val="auto"/>
          <w:sz w:val="24"/>
          <w:szCs w:val="24"/>
          <w:highlight w:val="none"/>
        </w:rPr>
        <w:t>签订合同</w:t>
      </w:r>
    </w:p>
    <w:p>
      <w:pPr>
        <w:numPr>
          <w:ilvl w:val="0"/>
          <w:numId w:val="12"/>
        </w:numPr>
        <w:spacing w:line="360" w:lineRule="auto"/>
        <w:rPr>
          <w:rFonts w:ascii="宋体" w:hAnsi="宋体"/>
          <w:b/>
          <w:bCs/>
          <w:color w:val="auto"/>
          <w:sz w:val="24"/>
          <w:szCs w:val="24"/>
          <w:highlight w:val="none"/>
        </w:rPr>
      </w:pPr>
      <w:r>
        <w:rPr>
          <w:rFonts w:hint="eastAsia" w:ascii="宋体" w:hAnsi="宋体"/>
          <w:b/>
          <w:bCs/>
          <w:color w:val="auto"/>
          <w:sz w:val="24"/>
          <w:szCs w:val="24"/>
          <w:highlight w:val="none"/>
        </w:rPr>
        <w:t>签订合同</w:t>
      </w:r>
    </w:p>
    <w:p>
      <w:pPr>
        <w:spacing w:line="360" w:lineRule="auto"/>
        <w:ind w:firstLine="472" w:firstLineChars="197"/>
        <w:rPr>
          <w:rFonts w:ascii="宋体" w:hAnsi="宋体"/>
          <w:b/>
          <w:bCs/>
          <w:color w:val="auto"/>
          <w:sz w:val="24"/>
          <w:szCs w:val="24"/>
          <w:highlight w:val="none"/>
        </w:rPr>
      </w:pPr>
      <w:r>
        <w:rPr>
          <w:rFonts w:hint="eastAsia" w:ascii="宋体" w:hAnsi="宋体"/>
          <w:bCs/>
          <w:color w:val="auto"/>
          <w:sz w:val="24"/>
          <w:szCs w:val="24"/>
          <w:highlight w:val="none"/>
        </w:rPr>
        <w:t xml:space="preserve">23.1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23.2 </w:t>
      </w:r>
      <w:r>
        <w:rPr>
          <w:rFonts w:hint="eastAsia" w:ascii="宋体" w:hAnsi="宋体"/>
          <w:bCs/>
          <w:color w:val="auto"/>
          <w:sz w:val="24"/>
          <w:szCs w:val="24"/>
          <w:highlight w:val="none"/>
          <w:lang w:val="zh-CN"/>
        </w:rPr>
        <w:t>中标供应商应于中标公告发布之日起7日内，办理签订合同前的相关手续;并于中标通知书发出之日起</w:t>
      </w:r>
      <w:r>
        <w:rPr>
          <w:rFonts w:hint="eastAsia" w:ascii="宋体" w:hAnsi="宋体"/>
          <w:bCs/>
          <w:color w:val="auto"/>
          <w:sz w:val="24"/>
          <w:szCs w:val="24"/>
          <w:highlight w:val="none"/>
        </w:rPr>
        <w:t>30</w:t>
      </w:r>
      <w:r>
        <w:rPr>
          <w:rFonts w:hint="eastAsia" w:ascii="宋体" w:hAnsi="宋体"/>
          <w:bCs/>
          <w:color w:val="auto"/>
          <w:sz w:val="24"/>
          <w:szCs w:val="24"/>
          <w:highlight w:val="none"/>
          <w:lang w:val="zh-CN"/>
        </w:rPr>
        <w:t>日内，按照招标文件确定的事项与采购人签订合同。</w:t>
      </w:r>
    </w:p>
    <w:p>
      <w:pPr>
        <w:spacing w:line="360" w:lineRule="auto"/>
        <w:ind w:left="420"/>
        <w:rPr>
          <w:rFonts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中标供应商如逾期不办理相关手续、签订合同，采购人将不予退还其投标保证金。</w:t>
      </w:r>
    </w:p>
    <w:p>
      <w:pPr>
        <w:spacing w:line="360" w:lineRule="auto"/>
        <w:ind w:left="420"/>
        <w:rPr>
          <w:rFonts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如遇特殊情况，采购人可延期签订合同。</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23.3 </w:t>
      </w:r>
      <w:r>
        <w:rPr>
          <w:rFonts w:hint="eastAsia" w:ascii="宋体" w:hAnsi="宋体"/>
          <w:bCs/>
          <w:color w:val="auto"/>
          <w:sz w:val="24"/>
          <w:szCs w:val="24"/>
          <w:highlight w:val="none"/>
          <w:lang w:val="zh-CN"/>
        </w:rPr>
        <w:t>签订合同书及合同条款应以招标文件和中标供应商的投标文件为依据。</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23.4</w:t>
      </w:r>
      <w:r>
        <w:rPr>
          <w:rFonts w:hint="eastAsia" w:ascii="宋体" w:hAnsi="宋体"/>
          <w:bCs/>
          <w:color w:val="auto"/>
          <w:sz w:val="24"/>
          <w:szCs w:val="24"/>
          <w:highlight w:val="none"/>
          <w:lang w:val="zh-CN"/>
        </w:rPr>
        <w:t>签订合同前，中标单位须按下表要求交纳中标合同总金额</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rPr>
        <w:t>%的履约保证金。</w:t>
      </w:r>
    </w:p>
    <w:tbl>
      <w:tblPr>
        <w:tblStyle w:val="30"/>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ascii="Calibri" w:hAnsi="宋体" w:eastAsia="宋体" w:cs="Times New Roman"/>
                <w:bCs/>
                <w:color w:val="auto"/>
                <w:szCs w:val="21"/>
                <w:highlight w:val="none"/>
                <w:lang w:val="zh-CN"/>
              </w:rPr>
            </w:pPr>
            <w:bookmarkStart w:id="27" w:name="OLE_LINK136"/>
            <w:r>
              <w:rPr>
                <w:rFonts w:hint="eastAsia" w:ascii="Calibri" w:hAnsi="Calibri" w:eastAsia="宋体" w:cs="Times New Roman"/>
                <w:color w:val="auto"/>
                <w:szCs w:val="21"/>
                <w:highlight w:val="none"/>
              </w:rPr>
              <w:t>交纳履约保证金账户名称</w:t>
            </w:r>
          </w:p>
        </w:tc>
        <w:tc>
          <w:tcPr>
            <w:tcW w:w="3260" w:type="dxa"/>
            <w:vAlign w:val="center"/>
          </w:tcPr>
          <w:p>
            <w:pPr>
              <w:jc w:val="center"/>
              <w:rPr>
                <w:rFonts w:hint="eastAsia" w:ascii="宋体" w:hAnsi="宋体" w:eastAsia="宋体" w:cs="Times New Roman"/>
                <w:bCs/>
                <w:color w:val="auto"/>
                <w:sz w:val="24"/>
                <w:szCs w:val="21"/>
                <w:highlight w:val="none"/>
                <w:lang w:val="zh-CN" w:eastAsia="zh-CN"/>
              </w:rPr>
            </w:pPr>
            <w:r>
              <w:rPr>
                <w:rFonts w:hint="eastAsia" w:ascii="Calibri" w:hAnsi="Calibri" w:eastAsia="宋体" w:cs="Times New Roman"/>
                <w:color w:val="auto"/>
                <w:highlight w:val="none"/>
                <w:lang w:eastAsia="zh-CN"/>
              </w:rPr>
              <w:t>宜兴市排水有限公司</w:t>
            </w:r>
          </w:p>
        </w:tc>
        <w:tc>
          <w:tcPr>
            <w:tcW w:w="1134" w:type="dxa"/>
            <w:vMerge w:val="restart"/>
            <w:vAlign w:val="center"/>
          </w:tcPr>
          <w:p>
            <w:pPr>
              <w:jc w:val="center"/>
              <w:rPr>
                <w:rFonts w:ascii="Calibri" w:hAnsi="宋体" w:eastAsia="宋体" w:cs="Times New Roman"/>
                <w:bCs/>
                <w:color w:val="auto"/>
                <w:szCs w:val="21"/>
                <w:highlight w:val="none"/>
                <w:lang w:val="zh-CN"/>
              </w:rPr>
            </w:pPr>
            <w:r>
              <w:rPr>
                <w:rFonts w:hint="eastAsia" w:ascii="Calibri" w:hAnsi="宋体" w:eastAsia="宋体" w:cs="Times New Roman"/>
                <w:bCs/>
                <w:color w:val="auto"/>
                <w:szCs w:val="21"/>
                <w:highlight w:val="none"/>
                <w:lang w:val="zh-CN"/>
              </w:rPr>
              <w:t>交纳</w:t>
            </w:r>
          </w:p>
          <w:p>
            <w:pPr>
              <w:jc w:val="center"/>
              <w:rPr>
                <w:rFonts w:ascii="Calibri" w:hAnsi="宋体" w:eastAsia="宋体" w:cs="Times New Roman"/>
                <w:bCs/>
                <w:color w:val="auto"/>
                <w:szCs w:val="21"/>
                <w:highlight w:val="none"/>
                <w:lang w:val="zh-CN"/>
              </w:rPr>
            </w:pPr>
            <w:r>
              <w:rPr>
                <w:rFonts w:hint="eastAsia" w:ascii="Calibri" w:hAnsi="宋体" w:eastAsia="宋体" w:cs="Times New Roman"/>
                <w:bCs/>
                <w:color w:val="auto"/>
                <w:szCs w:val="21"/>
                <w:highlight w:val="none"/>
                <w:lang w:val="zh-CN"/>
              </w:rPr>
              <w:t>形式</w:t>
            </w:r>
          </w:p>
        </w:tc>
        <w:tc>
          <w:tcPr>
            <w:tcW w:w="3040" w:type="dxa"/>
            <w:vMerge w:val="restart"/>
            <w:vAlign w:val="center"/>
          </w:tcPr>
          <w:p>
            <w:pPr>
              <w:jc w:val="center"/>
              <w:rPr>
                <w:rFonts w:ascii="Calibri"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zh-CN"/>
              </w:rPr>
              <w:t>履约保证金的交纳形式限于转账、电汇、本票、银行汇票、</w:t>
            </w:r>
            <w:r>
              <w:rPr>
                <w:rFonts w:hint="eastAsia" w:ascii="宋体" w:hAnsi="宋体" w:eastAsia="宋体" w:cs="Times New Roman"/>
                <w:bCs/>
                <w:color w:val="auto"/>
                <w:szCs w:val="21"/>
                <w:highlight w:val="none"/>
              </w:rPr>
              <w:t>银行保函</w:t>
            </w:r>
            <w:r>
              <w:rPr>
                <w:rFonts w:hint="eastAsia" w:ascii="宋体" w:hAnsi="宋体" w:eastAsia="宋体" w:cs="Times New Roman"/>
                <w:bCs/>
                <w:color w:val="auto"/>
                <w:szCs w:val="21"/>
                <w:highlight w:val="none"/>
                <w:lang w:val="zh-CN"/>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1766"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开户银行</w:t>
            </w:r>
          </w:p>
        </w:tc>
        <w:tc>
          <w:tcPr>
            <w:tcW w:w="3260"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中国建设银行股份有限公司宜兴支行</w:t>
            </w:r>
          </w:p>
        </w:tc>
        <w:tc>
          <w:tcPr>
            <w:tcW w:w="1134" w:type="dxa"/>
            <w:vMerge w:val="continue"/>
            <w:vAlign w:val="center"/>
          </w:tcPr>
          <w:p>
            <w:pPr>
              <w:spacing w:line="360" w:lineRule="auto"/>
              <w:jc w:val="center"/>
              <w:rPr>
                <w:rFonts w:ascii="宋体" w:hAnsi="宋体" w:eastAsia="宋体" w:cs="Times New Roman"/>
                <w:bCs/>
                <w:color w:val="auto"/>
                <w:szCs w:val="21"/>
                <w:highlight w:val="none"/>
                <w:lang w:val="zh-CN"/>
              </w:rPr>
            </w:pPr>
          </w:p>
        </w:tc>
        <w:tc>
          <w:tcPr>
            <w:tcW w:w="3040" w:type="dxa"/>
            <w:vMerge w:val="continue"/>
            <w:vAlign w:val="center"/>
          </w:tcPr>
          <w:p>
            <w:pPr>
              <w:spacing w:line="360" w:lineRule="auto"/>
              <w:jc w:val="center"/>
              <w:rPr>
                <w:rFonts w:ascii="宋体" w:hAnsi="宋体" w:eastAsia="宋体" w:cs="Times New Roman"/>
                <w:bCs/>
                <w:color w:val="auto"/>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1766"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账 号</w:t>
            </w:r>
          </w:p>
        </w:tc>
        <w:tc>
          <w:tcPr>
            <w:tcW w:w="3260"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ab/>
            </w:r>
            <w:r>
              <w:rPr>
                <w:rFonts w:hint="eastAsia" w:asciiTheme="minorEastAsia" w:hAnsiTheme="minorEastAsia" w:eastAsiaTheme="minorEastAsia" w:cstheme="minorEastAsia"/>
                <w:color w:val="auto"/>
                <w:sz w:val="24"/>
                <w:szCs w:val="24"/>
                <w:highlight w:val="none"/>
                <w:lang w:val="zh-CN"/>
              </w:rPr>
              <w:t>32001616236052502492</w:t>
            </w:r>
          </w:p>
        </w:tc>
        <w:tc>
          <w:tcPr>
            <w:tcW w:w="1134" w:type="dxa"/>
            <w:vMerge w:val="continue"/>
            <w:vAlign w:val="center"/>
          </w:tcPr>
          <w:p>
            <w:pPr>
              <w:spacing w:line="360" w:lineRule="auto"/>
              <w:jc w:val="center"/>
              <w:rPr>
                <w:rFonts w:ascii="宋体" w:hAnsi="宋体" w:eastAsia="宋体" w:cs="Times New Roman"/>
                <w:bCs/>
                <w:color w:val="auto"/>
                <w:szCs w:val="21"/>
                <w:highlight w:val="none"/>
                <w:lang w:val="zh-CN"/>
              </w:rPr>
            </w:pPr>
          </w:p>
        </w:tc>
        <w:tc>
          <w:tcPr>
            <w:tcW w:w="3040" w:type="dxa"/>
            <w:vMerge w:val="continue"/>
            <w:vAlign w:val="center"/>
          </w:tcPr>
          <w:p>
            <w:pPr>
              <w:spacing w:line="360" w:lineRule="auto"/>
              <w:jc w:val="center"/>
              <w:rPr>
                <w:rFonts w:ascii="宋体" w:hAnsi="宋体" w:eastAsia="宋体" w:cs="Times New Roman"/>
                <w:bCs/>
                <w:color w:val="auto"/>
                <w:szCs w:val="21"/>
                <w:highlight w:val="none"/>
                <w:lang w:val="zh-CN"/>
              </w:rPr>
            </w:pPr>
          </w:p>
        </w:tc>
      </w:tr>
      <w:bookmarkEnd w:id="27"/>
    </w:tbl>
    <w:p>
      <w:pPr>
        <w:spacing w:line="360" w:lineRule="auto"/>
        <w:ind w:firstLine="482" w:firstLineChars="200"/>
        <w:rPr>
          <w:rFonts w:ascii="宋体" w:hAnsi="宋体"/>
          <w:bCs/>
          <w:color w:val="auto"/>
          <w:sz w:val="24"/>
          <w:szCs w:val="24"/>
          <w:highlight w:val="none"/>
          <w:lang w:val="zh-CN"/>
        </w:rPr>
      </w:pPr>
      <w:r>
        <w:rPr>
          <w:rFonts w:hint="eastAsia" w:ascii="宋体" w:hAnsi="宋体" w:eastAsia="宋体"/>
          <w:b/>
          <w:bCs/>
          <w:color w:val="auto"/>
          <w:kern w:val="2"/>
          <w:sz w:val="24"/>
          <w:highlight w:val="none"/>
        </w:rPr>
        <w:t>注：若乙方履约保证金的形式为开具银行保函，需确保保函有效期覆盖合同期。若合同在执行过程中保函即将过期，乙方需提前一个月重新开具银行保函交至甲方，否则甲方将停付进度款。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23.5</w:t>
      </w:r>
      <w:r>
        <w:rPr>
          <w:rFonts w:hint="eastAsia" w:ascii="宋体" w:hAnsi="宋体"/>
          <w:bCs/>
          <w:color w:val="auto"/>
          <w:sz w:val="24"/>
          <w:szCs w:val="24"/>
          <w:highlight w:val="none"/>
          <w:lang w:val="zh-CN"/>
        </w:rPr>
        <w:t>履约保证金</w:t>
      </w:r>
      <w:r>
        <w:rPr>
          <w:rFonts w:hint="eastAsia" w:asciiTheme="minorEastAsia" w:hAnsiTheme="minorEastAsia"/>
          <w:color w:val="auto"/>
          <w:sz w:val="24"/>
          <w:szCs w:val="24"/>
          <w:highlight w:val="none"/>
        </w:rPr>
        <w:t>在本项目验收合格后无息退还</w:t>
      </w:r>
      <w:r>
        <w:rPr>
          <w:rFonts w:hint="eastAsia" w:ascii="宋体" w:hAnsi="宋体"/>
          <w:bCs/>
          <w:color w:val="auto"/>
          <w:sz w:val="24"/>
          <w:szCs w:val="24"/>
          <w:highlight w:val="none"/>
          <w:lang w:val="zh-CN"/>
        </w:rPr>
        <w:t>。</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23.6</w:t>
      </w:r>
      <w:bookmarkStart w:id="28" w:name="OLE_LINK5"/>
      <w:r>
        <w:rPr>
          <w:rFonts w:hint="eastAsia" w:ascii="宋体" w:hAnsi="宋体"/>
          <w:bCs/>
          <w:color w:val="auto"/>
          <w:sz w:val="24"/>
          <w:szCs w:val="24"/>
          <w:highlight w:val="none"/>
          <w:lang w:val="zh-CN"/>
        </w:rPr>
        <w:t>中标供应商</w:t>
      </w:r>
      <w:bookmarkStart w:id="29" w:name="OLE_LINK175"/>
      <w:r>
        <w:rPr>
          <w:rFonts w:hint="eastAsia" w:ascii="宋体" w:hAnsi="宋体"/>
          <w:bCs/>
          <w:color w:val="auto"/>
          <w:sz w:val="24"/>
          <w:szCs w:val="24"/>
          <w:highlight w:val="none"/>
          <w:lang w:val="zh-CN"/>
        </w:rPr>
        <w:t>（含中标候选人）</w:t>
      </w:r>
      <w:bookmarkEnd w:id="29"/>
      <w:r>
        <w:rPr>
          <w:rFonts w:hint="eastAsia" w:ascii="宋体" w:hAnsi="宋体"/>
          <w:bCs/>
          <w:color w:val="auto"/>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color w:val="auto"/>
          <w:sz w:val="24"/>
          <w:szCs w:val="24"/>
          <w:highlight w:val="none"/>
          <w:lang w:val="zh-CN"/>
        </w:rPr>
        <w:t>，列入不良行为记录名单，在一至三年内禁止参加</w:t>
      </w:r>
      <w:r>
        <w:rPr>
          <w:rFonts w:hint="eastAsia" w:ascii="宋体" w:hAnsi="宋体"/>
          <w:bCs/>
          <w:color w:val="auto"/>
          <w:sz w:val="24"/>
          <w:szCs w:val="24"/>
          <w:highlight w:val="none"/>
          <w:lang w:val="zh-CN"/>
        </w:rPr>
        <w:t>本单位的</w:t>
      </w:r>
      <w:r>
        <w:rPr>
          <w:rFonts w:ascii="宋体" w:hAnsi="宋体"/>
          <w:bCs/>
          <w:color w:val="auto"/>
          <w:sz w:val="24"/>
          <w:szCs w:val="24"/>
          <w:highlight w:val="none"/>
          <w:lang w:val="zh-CN"/>
        </w:rPr>
        <w:t>采购活动</w:t>
      </w:r>
      <w:bookmarkStart w:id="30" w:name="OLE_LINK2"/>
      <w:r>
        <w:rPr>
          <w:rFonts w:hint="eastAsia" w:ascii="宋体" w:hAnsi="宋体"/>
          <w:bCs/>
          <w:color w:val="auto"/>
          <w:sz w:val="24"/>
          <w:szCs w:val="24"/>
          <w:highlight w:val="none"/>
          <w:lang w:val="zh-CN"/>
        </w:rPr>
        <w:t>。</w:t>
      </w:r>
      <w:bookmarkEnd w:id="28"/>
      <w:bookmarkEnd w:id="30"/>
      <w:r>
        <w:rPr>
          <w:rFonts w:ascii="宋体" w:hAnsi="宋体"/>
          <w:bCs/>
          <w:color w:val="auto"/>
          <w:sz w:val="24"/>
          <w:szCs w:val="24"/>
          <w:highlight w:val="none"/>
          <w:lang w:val="zh-CN"/>
        </w:rPr>
        <w:t>拒绝签订合同的</w:t>
      </w:r>
      <w:r>
        <w:rPr>
          <w:rFonts w:hint="eastAsia" w:ascii="宋体" w:hAnsi="宋体"/>
          <w:bCs/>
          <w:color w:val="auto"/>
          <w:sz w:val="24"/>
          <w:szCs w:val="24"/>
          <w:highlight w:val="none"/>
          <w:lang w:val="zh-CN"/>
        </w:rPr>
        <w:t>中标供应商（含中标候选人）不得参加对该项目重新开展的采购活动。</w:t>
      </w:r>
    </w:p>
    <w:p>
      <w:pPr>
        <w:spacing w:line="360" w:lineRule="auto"/>
        <w:ind w:firstLine="480" w:firstLineChars="200"/>
        <w:rPr>
          <w:rFonts w:ascii="宋体" w:hAnsi="宋体"/>
          <w:b/>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3.7</w:t>
      </w:r>
      <w:r>
        <w:rPr>
          <w:rFonts w:hint="eastAsia" w:ascii="宋体" w:hAnsi="宋体"/>
          <w:bCs/>
          <w:color w:val="auto"/>
          <w:sz w:val="24"/>
          <w:szCs w:val="24"/>
          <w:highlight w:val="none"/>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hAnsi="宋体"/>
          <w:b/>
          <w:color w:val="auto"/>
          <w:sz w:val="24"/>
          <w:szCs w:val="24"/>
          <w:highlight w:val="none"/>
        </w:rPr>
      </w:pPr>
      <w:r>
        <w:rPr>
          <w:rFonts w:hint="eastAsia" w:ascii="宋体" w:hAnsi="宋体"/>
          <w:b/>
          <w:color w:val="auto"/>
          <w:sz w:val="24"/>
          <w:szCs w:val="24"/>
          <w:highlight w:val="none"/>
        </w:rPr>
        <w:t>七、投标行为及投标产品：</w:t>
      </w:r>
    </w:p>
    <w:p>
      <w:pPr>
        <w:spacing w:line="360" w:lineRule="auto"/>
        <w:ind w:firstLine="361" w:firstLineChars="150"/>
        <w:rPr>
          <w:rFonts w:ascii="宋体" w:hAnsi="宋体"/>
          <w:b/>
          <w:bCs/>
          <w:color w:val="auto"/>
          <w:sz w:val="24"/>
          <w:szCs w:val="24"/>
          <w:highlight w:val="none"/>
        </w:rPr>
      </w:pPr>
      <w:r>
        <w:rPr>
          <w:rFonts w:hint="eastAsia" w:ascii="宋体" w:hAnsi="宋体"/>
          <w:b/>
          <w:bCs/>
          <w:color w:val="auto"/>
          <w:sz w:val="24"/>
          <w:szCs w:val="24"/>
          <w:highlight w:val="none"/>
        </w:rPr>
        <w:t>24、投标行为及投标产品：</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投标人的投标行为必须遵守各项法律、法规、规章及相关制度的规定。</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投标产品、产品安装（施工）及服务质量等应符合国家、行业等相关标准及要求。</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投标人提供的产品应是全新、未使用过的原装合格正品。投标人中标后，在供货期内如遇产品平滑（自然）升级，中标供应商应提供平滑升级商品不补差价（招标文件中有特殊要求的除外）。</w:t>
      </w:r>
    </w:p>
    <w:p>
      <w:pPr>
        <w:numPr>
          <w:ilvl w:val="0"/>
          <w:numId w:val="13"/>
        </w:numPr>
        <w:spacing w:line="360" w:lineRule="auto"/>
        <w:ind w:left="6"/>
        <w:rPr>
          <w:rFonts w:ascii="宋体" w:hAnsi="宋体"/>
          <w:bCs/>
          <w:color w:val="auto"/>
          <w:sz w:val="24"/>
          <w:szCs w:val="24"/>
          <w:highlight w:val="none"/>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pPr>
        <w:spacing w:line="360" w:lineRule="auto"/>
        <w:ind w:left="420"/>
        <w:rPr>
          <w:rFonts w:ascii="宋体" w:hAnsi="宋体"/>
          <w:b/>
          <w:color w:val="auto"/>
          <w:sz w:val="24"/>
          <w:szCs w:val="24"/>
          <w:highlight w:val="none"/>
        </w:rPr>
      </w:pPr>
      <w:bookmarkStart w:id="31" w:name="_Toc23122"/>
      <w:r>
        <w:rPr>
          <w:rFonts w:hint="eastAsia" w:ascii="宋体" w:hAnsi="宋体"/>
          <w:b/>
          <w:color w:val="auto"/>
          <w:sz w:val="24"/>
          <w:szCs w:val="24"/>
          <w:highlight w:val="none"/>
        </w:rPr>
        <w:t>八、质疑处理：</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25、询问</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26、质疑</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26.3对符合法定质疑条件的质疑，被质疑人在受理后的七个工作日内进行书面答复。</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26.4恶意质疑或提交虚假质疑一经查实，被质疑人有权依据有关规定，报请采购监管部门对该质疑人进行相应的处罚。</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27 投诉</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pPr>
        <w:spacing w:line="360" w:lineRule="auto"/>
        <w:ind w:firstLine="480" w:firstLineChars="200"/>
        <w:rPr>
          <w:rFonts w:ascii="宋体" w:hAnsi="宋体"/>
          <w:bCs/>
          <w:color w:val="auto"/>
          <w:sz w:val="24"/>
          <w:szCs w:val="24"/>
          <w:highlight w:val="none"/>
          <w:lang w:val="zh-CN"/>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bookmarkStart w:id="69" w:name="_GoBack"/>
      <w:bookmarkEnd w:id="69"/>
    </w:p>
    <w:p>
      <w:pPr>
        <w:rPr>
          <w:color w:val="auto"/>
          <w:highlight w:val="none"/>
        </w:rPr>
      </w:pPr>
    </w:p>
    <w:p>
      <w:pPr>
        <w:rPr>
          <w:color w:val="auto"/>
          <w:highlight w:val="none"/>
        </w:rPr>
      </w:pPr>
    </w:p>
    <w:p>
      <w:pPr>
        <w:rPr>
          <w:color w:val="auto"/>
          <w:highlight w:val="none"/>
        </w:rPr>
      </w:pPr>
    </w:p>
    <w:p>
      <w:pPr>
        <w:rPr>
          <w:color w:val="auto"/>
          <w:highlight w:val="none"/>
        </w:rPr>
      </w:pPr>
    </w:p>
    <w:p>
      <w:pPr>
        <w:pStyle w:val="2"/>
        <w:spacing w:before="0" w:after="0"/>
        <w:jc w:val="center"/>
        <w:rPr>
          <w:color w:val="auto"/>
          <w:highlight w:val="none"/>
        </w:rPr>
      </w:pPr>
      <w:bookmarkStart w:id="32" w:name="_Toc64637566"/>
      <w:r>
        <w:rPr>
          <w:rFonts w:hint="eastAsia" w:ascii="黑体" w:hAnsi="黑体" w:eastAsia="黑体"/>
          <w:b w:val="0"/>
          <w:color w:val="auto"/>
          <w:kern w:val="2"/>
          <w:sz w:val="28"/>
          <w:highlight w:val="none"/>
        </w:rPr>
        <w:t>第三章 评标方法和标准</w:t>
      </w:r>
      <w:bookmarkEnd w:id="32"/>
    </w:p>
    <w:p>
      <w:pPr>
        <w:spacing w:line="360" w:lineRule="auto"/>
        <w:jc w:val="left"/>
        <w:rPr>
          <w:rFonts w:ascii="宋体" w:hAnsi="宋体"/>
          <w:color w:val="auto"/>
          <w:sz w:val="24"/>
          <w:szCs w:val="24"/>
          <w:highlight w:val="none"/>
        </w:rPr>
      </w:pPr>
      <w:bookmarkStart w:id="33" w:name="_Toc64637567"/>
      <w:r>
        <w:rPr>
          <w:rFonts w:hint="eastAsia" w:ascii="宋体" w:hAnsi="宋体"/>
          <w:color w:val="auto"/>
          <w:sz w:val="24"/>
          <w:szCs w:val="24"/>
          <w:highlight w:val="none"/>
        </w:rPr>
        <w:t>一、评分项目（总分100分）</w:t>
      </w:r>
    </w:p>
    <w:tbl>
      <w:tblPr>
        <w:tblStyle w:val="30"/>
        <w:tblW w:w="87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9"/>
        <w:gridCol w:w="5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0" w:hRule="atLeast"/>
          <w:jc w:val="center"/>
        </w:trPr>
        <w:tc>
          <w:tcPr>
            <w:tcW w:w="2739"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技术</w:t>
            </w:r>
            <w:r>
              <w:rPr>
                <w:rFonts w:hint="eastAsia" w:ascii="宋体" w:hAnsi="宋体"/>
                <w:color w:val="auto"/>
                <w:sz w:val="24"/>
                <w:szCs w:val="24"/>
                <w:highlight w:val="none"/>
                <w:lang w:eastAsia="zh-CN"/>
              </w:rPr>
              <w:t>、</w:t>
            </w:r>
            <w:r>
              <w:rPr>
                <w:rFonts w:hint="eastAsia" w:ascii="宋体" w:hAnsi="宋体"/>
                <w:color w:val="auto"/>
                <w:sz w:val="24"/>
                <w:szCs w:val="24"/>
                <w:highlight w:val="none"/>
              </w:rPr>
              <w:t>商务部分</w:t>
            </w:r>
          </w:p>
        </w:tc>
        <w:tc>
          <w:tcPr>
            <w:tcW w:w="5993"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lang w:val="en-US" w:eastAsia="zh-CN"/>
              </w:rPr>
              <w:t>70</w:t>
            </w:r>
            <w:r>
              <w:rPr>
                <w:rFonts w:hint="eastAsia" w:ascii="宋体" w:hAnsi="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jc w:val="center"/>
        </w:trPr>
        <w:tc>
          <w:tcPr>
            <w:tcW w:w="2739"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价格部分</w:t>
            </w:r>
          </w:p>
        </w:tc>
        <w:tc>
          <w:tcPr>
            <w:tcW w:w="5993"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0分</w:t>
            </w:r>
          </w:p>
        </w:tc>
      </w:tr>
    </w:tbl>
    <w:p>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二、评审内容：</w:t>
      </w:r>
    </w:p>
    <w:p>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1、技术部分</w:t>
      </w:r>
    </w:p>
    <w:tbl>
      <w:tblPr>
        <w:tblStyle w:val="30"/>
        <w:tblpPr w:leftFromText="180" w:rightFromText="180" w:vertAnchor="text" w:tblpXSpec="center" w:tblpY="1"/>
        <w:tblOverlap w:val="never"/>
        <w:tblW w:w="107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32"/>
        <w:gridCol w:w="1268"/>
        <w:gridCol w:w="780"/>
        <w:gridCol w:w="7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jc w:val="center"/>
        </w:trPr>
        <w:tc>
          <w:tcPr>
            <w:tcW w:w="79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评审内容</w:t>
            </w:r>
          </w:p>
        </w:tc>
        <w:tc>
          <w:tcPr>
            <w:tcW w:w="63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68"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78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24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restart"/>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技术部分</w:t>
            </w:r>
          </w:p>
        </w:tc>
        <w:tc>
          <w:tcPr>
            <w:tcW w:w="63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应急预案</w:t>
            </w:r>
          </w:p>
        </w:tc>
        <w:tc>
          <w:tcPr>
            <w:tcW w:w="78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6分</w:t>
            </w:r>
          </w:p>
        </w:tc>
        <w:tc>
          <w:tcPr>
            <w:tcW w:w="7240" w:type="dxa"/>
            <w:tcBorders>
              <w:top w:val="single" w:color="auto" w:sz="4" w:space="0"/>
              <w:left w:val="single" w:color="auto" w:sz="4" w:space="0"/>
              <w:bottom w:val="single" w:color="auto" w:sz="4" w:space="0"/>
              <w:right w:val="single" w:color="auto" w:sz="4" w:space="0"/>
            </w:tcBorders>
            <w:vAlign w:val="center"/>
          </w:tcPr>
          <w:p>
            <w:pPr>
              <w:numPr>
                <w:ilvl w:val="0"/>
                <w:numId w:val="0"/>
              </w:numPr>
              <w:snapToGrid w:val="0"/>
              <w:spacing w:line="4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提供产品</w:t>
            </w:r>
            <w:r>
              <w:rPr>
                <w:rFonts w:hint="eastAsia" w:ascii="宋体" w:hAnsi="宋体" w:eastAsia="宋体" w:cs="宋体"/>
                <w:color w:val="auto"/>
                <w:sz w:val="24"/>
                <w:szCs w:val="24"/>
                <w:highlight w:val="none"/>
                <w:lang w:val="en-US" w:bidi="ar"/>
              </w:rPr>
              <w:t>应急预案</w:t>
            </w:r>
            <w:r>
              <w:rPr>
                <w:rFonts w:hint="eastAsia" w:ascii="宋体" w:hAnsi="宋体" w:eastAsia="宋体" w:cs="宋体"/>
                <w:color w:val="auto"/>
                <w:sz w:val="24"/>
                <w:szCs w:val="24"/>
                <w:highlight w:val="none"/>
                <w:lang w:bidi="ar"/>
              </w:rPr>
              <w:t>，方案内容详细、科学合理、可操作性强得</w:t>
            </w:r>
            <w:r>
              <w:rPr>
                <w:rFonts w:hint="eastAsia" w:ascii="宋体" w:hAnsi="宋体" w:eastAsia="宋体" w:cs="宋体"/>
                <w:color w:val="auto"/>
                <w:sz w:val="24"/>
                <w:szCs w:val="24"/>
                <w:highlight w:val="none"/>
                <w:lang w:val="en-US" w:eastAsia="zh-CN" w:bidi="ar"/>
              </w:rPr>
              <w:t>6</w:t>
            </w:r>
            <w:r>
              <w:rPr>
                <w:rFonts w:hint="eastAsia" w:ascii="宋体" w:hAnsi="宋体" w:eastAsia="宋体" w:cs="宋体"/>
                <w:color w:val="auto"/>
                <w:sz w:val="24"/>
                <w:szCs w:val="24"/>
                <w:highlight w:val="none"/>
                <w:lang w:bidi="ar"/>
              </w:rPr>
              <w:t>分；方案内容基本详细、合理性较好、可操作性较好得</w:t>
            </w:r>
            <w:r>
              <w:rPr>
                <w:rFonts w:hint="eastAsia" w:ascii="宋体" w:hAnsi="宋体" w:eastAsia="宋体" w:cs="宋体"/>
                <w:color w:val="auto"/>
                <w:sz w:val="24"/>
                <w:szCs w:val="24"/>
                <w:highlight w:val="none"/>
                <w:lang w:val="en-US" w:eastAsia="zh-CN" w:bidi="ar"/>
              </w:rPr>
              <w:t>4</w:t>
            </w:r>
            <w:r>
              <w:rPr>
                <w:rFonts w:hint="eastAsia" w:ascii="宋体" w:hAnsi="宋体" w:eastAsia="宋体" w:cs="宋体"/>
                <w:color w:val="auto"/>
                <w:sz w:val="24"/>
                <w:szCs w:val="24"/>
                <w:highlight w:val="none"/>
                <w:lang w:bidi="ar"/>
              </w:rPr>
              <w:t>分；方案内容不够详细、合理性一般、可操作性一般得</w:t>
            </w:r>
            <w:r>
              <w:rPr>
                <w:rFonts w:hint="eastAsia" w:ascii="宋体" w:hAnsi="宋体" w:eastAsia="宋体" w:cs="宋体"/>
                <w:color w:val="auto"/>
                <w:sz w:val="24"/>
                <w:szCs w:val="24"/>
                <w:highlight w:val="none"/>
                <w:lang w:val="en-US" w:eastAsia="zh-CN" w:bidi="ar"/>
              </w:rPr>
              <w:t>2</w:t>
            </w:r>
            <w:r>
              <w:rPr>
                <w:rFonts w:hint="eastAsia" w:ascii="宋体" w:hAnsi="宋体" w:eastAsia="宋体" w:cs="宋体"/>
                <w:color w:val="auto"/>
                <w:sz w:val="24"/>
                <w:szCs w:val="24"/>
                <w:highlight w:val="none"/>
                <w:lang w:bidi="ar"/>
              </w:rPr>
              <w:t>分</w:t>
            </w:r>
            <w:r>
              <w:rPr>
                <w:rFonts w:hint="eastAsia" w:ascii="宋体" w:hAnsi="宋体" w:eastAsia="宋体" w:cs="宋体"/>
                <w:color w:val="auto"/>
                <w:sz w:val="24"/>
                <w:szCs w:val="24"/>
                <w:highlight w:val="none"/>
                <w:lang w:eastAsia="zh-CN" w:bidi="ar"/>
              </w:rPr>
              <w:t>；</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26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保障措施</w:t>
            </w:r>
          </w:p>
        </w:tc>
        <w:tc>
          <w:tcPr>
            <w:tcW w:w="780"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11分</w:t>
            </w: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1、</w:t>
            </w:r>
            <w:r>
              <w:rPr>
                <w:rFonts w:hint="eastAsia" w:ascii="宋体" w:hAnsi="宋体" w:eastAsia="宋体" w:cs="宋体"/>
                <w:color w:val="auto"/>
                <w:sz w:val="24"/>
                <w:szCs w:val="24"/>
                <w:highlight w:val="none"/>
              </w:rPr>
              <w:t>质量保障措施、安装和调试的主要技术保证措施、安全文明施工及人员安全保障措施</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80"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技术培训方案</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内容完整、清晰、详细、科学合理且符合本项目采购需求的得5分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内容较完整、清晰、详细、科学合理且符合本项目采购需求的得3分；内容简单，可行性、科学合理性一般，基本满足采购需求的得1分；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26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售后服务</w:t>
            </w:r>
          </w:p>
        </w:tc>
        <w:tc>
          <w:tcPr>
            <w:tcW w:w="780"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18分</w:t>
            </w: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1、</w:t>
            </w:r>
            <w:r>
              <w:rPr>
                <w:rFonts w:hint="eastAsia" w:ascii="宋体" w:hAnsi="宋体" w:eastAsia="宋体" w:cs="宋体"/>
                <w:color w:val="auto"/>
                <w:sz w:val="24"/>
                <w:szCs w:val="24"/>
                <w:highlight w:val="none"/>
              </w:rPr>
              <w:t>售后服务机构的设置情况、配备人员和工具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本地化服务能力</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continue"/>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vMerge w:val="continue"/>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80" w:type="dxa"/>
            <w:vMerge w:val="continue"/>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2、</w:t>
            </w:r>
            <w:r>
              <w:rPr>
                <w:rFonts w:hint="eastAsia" w:ascii="宋体" w:hAnsi="宋体" w:eastAsia="宋体" w:cs="宋体"/>
                <w:color w:val="auto"/>
                <w:sz w:val="24"/>
                <w:szCs w:val="24"/>
                <w:highlight w:val="none"/>
              </w:rPr>
              <w:t>售后服务方案</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80"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3、</w:t>
            </w:r>
            <w:r>
              <w:rPr>
                <w:rFonts w:hint="eastAsia" w:ascii="宋体" w:hAnsi="宋体" w:eastAsia="宋体" w:cs="宋体"/>
                <w:color w:val="auto"/>
                <w:sz w:val="24"/>
                <w:szCs w:val="24"/>
                <w:highlight w:val="none"/>
              </w:rPr>
              <w:t>项目应急方案</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9"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268"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技术响应</w:t>
            </w:r>
          </w:p>
        </w:tc>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20分</w:t>
            </w: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投标人所投产品完全符合或优于的得满分</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带▲参数不响应或出现负偏离的，每一项扣</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上述参数须提供相关证明材料复印件并加盖公章，不提供视为负偏离。</w:t>
            </w:r>
          </w:p>
          <w:p>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不带</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参数不响应或出现负偏离的，每一项扣1分，上述参数以投标偏离表响应承诺为准</w:t>
            </w:r>
            <w:r>
              <w:rPr>
                <w:rFonts w:hint="eastAsia" w:ascii="宋体" w:hAnsi="宋体" w:eastAsia="宋体" w:cs="宋体"/>
                <w:color w:val="auto"/>
                <w:sz w:val="24"/>
                <w:szCs w:val="24"/>
                <w:highlight w:val="none"/>
              </w:rPr>
              <w:t>。</w:t>
            </w:r>
          </w:p>
        </w:tc>
      </w:tr>
    </w:tbl>
    <w:p>
      <w:pPr>
        <w:pStyle w:val="32"/>
        <w:rPr>
          <w:color w:val="auto"/>
          <w:highlight w:val="none"/>
        </w:rPr>
      </w:pPr>
    </w:p>
    <w:p>
      <w:pPr>
        <w:numPr>
          <w:ilvl w:val="0"/>
          <w:numId w:val="1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商务部分</w:t>
      </w:r>
    </w:p>
    <w:tbl>
      <w:tblPr>
        <w:tblStyle w:val="30"/>
        <w:tblpPr w:leftFromText="180" w:rightFromText="180" w:vertAnchor="text" w:tblpXSpec="center" w:tblpY="1"/>
        <w:tblOverlap w:val="never"/>
        <w:tblW w:w="107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735"/>
        <w:gridCol w:w="1185"/>
        <w:gridCol w:w="765"/>
        <w:gridCol w:w="7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jc w:val="center"/>
        </w:trPr>
        <w:tc>
          <w:tcPr>
            <w:tcW w:w="94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评审内容</w:t>
            </w:r>
          </w:p>
        </w:tc>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18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76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09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jc w:val="center"/>
        </w:trPr>
        <w:tc>
          <w:tcPr>
            <w:tcW w:w="941" w:type="dxa"/>
            <w:vMerge w:val="restart"/>
            <w:tcBorders>
              <w:top w:val="single" w:color="auto" w:sz="4" w:space="0"/>
              <w:left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bookmarkStart w:id="34" w:name="OLE_LINK29" w:colFirst="4" w:colLast="4"/>
            <w:r>
              <w:rPr>
                <w:rFonts w:hint="eastAsia" w:ascii="宋体" w:hAnsi="宋体" w:eastAsia="宋体" w:cs="宋体"/>
                <w:color w:val="auto"/>
                <w:sz w:val="24"/>
                <w:szCs w:val="24"/>
                <w:highlight w:val="none"/>
              </w:rPr>
              <w:t>商务部分</w:t>
            </w:r>
          </w:p>
        </w:tc>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185" w:type="dxa"/>
            <w:tcBorders>
              <w:top w:val="single" w:color="auto" w:sz="4" w:space="0"/>
              <w:left w:val="single" w:color="auto" w:sz="4" w:space="0"/>
              <w:right w:val="single" w:color="auto" w:sz="4" w:space="0"/>
            </w:tcBorders>
            <w:shd w:val="clear" w:color="auto" w:fill="auto"/>
            <w:vAlign w:val="center"/>
          </w:tcPr>
          <w:p>
            <w:pPr>
              <w:widowControl/>
              <w:jc w:val="center"/>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质保服务</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分</w:t>
            </w:r>
          </w:p>
        </w:tc>
        <w:tc>
          <w:tcPr>
            <w:tcW w:w="709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40" w:lineRule="exac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投标人需至少提供</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年设备质保期限，每多提供1年质保服务得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分，本项最高得分</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p>
          <w:p>
            <w:pPr>
              <w:spacing w:line="440" w:lineRule="exact"/>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lang w:val="en-US" w:eastAsia="zh-CN"/>
              </w:rPr>
              <w:t>注：投标时须提供</w:t>
            </w:r>
            <w:r>
              <w:rPr>
                <w:rFonts w:hint="eastAsia" w:ascii="宋体" w:hAnsi="宋体" w:eastAsia="宋体" w:cs="宋体"/>
                <w:color w:val="auto"/>
                <w:sz w:val="24"/>
                <w:szCs w:val="24"/>
                <w:highlight w:val="none"/>
              </w:rPr>
              <w:t>承诺函</w:t>
            </w:r>
            <w:r>
              <w:rPr>
                <w:rFonts w:hint="eastAsia" w:ascii="宋体" w:hAnsi="宋体" w:eastAsia="宋体" w:cs="宋体"/>
                <w:color w:val="auto"/>
                <w:sz w:val="24"/>
                <w:szCs w:val="24"/>
                <w:highlight w:val="none"/>
                <w:lang w:val="en-US" w:eastAsia="zh-CN"/>
              </w:rPr>
              <w:t>并加盖公章（</w:t>
            </w:r>
            <w:r>
              <w:rPr>
                <w:rFonts w:hint="eastAsia" w:ascii="宋体" w:hAnsi="宋体" w:eastAsia="宋体" w:cs="宋体"/>
                <w:color w:val="auto"/>
                <w:sz w:val="24"/>
                <w:szCs w:val="24"/>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25" w:hRule="atLeast"/>
          <w:jc w:val="center"/>
        </w:trPr>
        <w:tc>
          <w:tcPr>
            <w:tcW w:w="941" w:type="dxa"/>
            <w:vMerge w:val="continue"/>
            <w:tcBorders>
              <w:left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p>
        </w:tc>
        <w:tc>
          <w:tcPr>
            <w:tcW w:w="735" w:type="dxa"/>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185" w:type="dxa"/>
            <w:tcBorders>
              <w:left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企业信誉</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strike w:val="0"/>
                <w:color w:val="auto"/>
                <w:sz w:val="24"/>
                <w:szCs w:val="24"/>
                <w:highlight w:val="none"/>
                <w:lang w:val="en-US" w:eastAsia="zh-CN"/>
              </w:rPr>
              <w:t>9</w:t>
            </w:r>
            <w:r>
              <w:rPr>
                <w:rFonts w:hint="eastAsia" w:ascii="宋体" w:hAnsi="宋体" w:eastAsia="宋体" w:cs="宋体"/>
                <w:bCs/>
                <w:strike w:val="0"/>
                <w:color w:val="auto"/>
                <w:sz w:val="24"/>
                <w:szCs w:val="24"/>
                <w:highlight w:val="none"/>
              </w:rPr>
              <w:t>分</w:t>
            </w:r>
          </w:p>
        </w:tc>
        <w:tc>
          <w:tcPr>
            <w:tcW w:w="709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1、具有质量管理体系认证证书的得</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分；</w:t>
            </w:r>
          </w:p>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具有职业健康安全管理体系认证证书的得</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分；</w:t>
            </w:r>
          </w:p>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具有环境管理体系认证证书的得</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分；</w:t>
            </w:r>
          </w:p>
          <w:p>
            <w:pPr>
              <w:snapToGrid w:val="0"/>
              <w:spacing w:line="400" w:lineRule="exact"/>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w:t>
            </w:r>
            <w:bookmarkStart w:id="35" w:name="OLE_LINK10"/>
            <w:r>
              <w:rPr>
                <w:rFonts w:hint="eastAsia" w:ascii="宋体" w:hAnsi="宋体" w:eastAsia="宋体" w:cs="宋体"/>
                <w:bCs/>
                <w:color w:val="auto"/>
                <w:sz w:val="24"/>
                <w:szCs w:val="24"/>
                <w:highlight w:val="none"/>
                <w:lang w:val="en-US" w:eastAsia="zh-CN"/>
              </w:rPr>
              <w:t>具有</w:t>
            </w:r>
            <w:r>
              <w:rPr>
                <w:rFonts w:hint="eastAsia" w:ascii="宋体" w:hAnsi="宋体" w:eastAsia="宋体" w:cs="宋体"/>
                <w:color w:val="auto"/>
                <w:sz w:val="24"/>
                <w:szCs w:val="24"/>
                <w:highlight w:val="none"/>
                <w:lang w:val="en-US" w:eastAsia="zh-CN"/>
              </w:rPr>
              <w:t>五星级及以上售后认证证书</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val="en-US" w:eastAsia="zh-CN"/>
              </w:rPr>
              <w:t>得3分；</w:t>
            </w:r>
            <w:bookmarkEnd w:id="35"/>
          </w:p>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注：</w:t>
            </w:r>
            <w:r>
              <w:rPr>
                <w:rFonts w:hint="eastAsia" w:ascii="宋体" w:hAnsi="宋体" w:eastAsia="宋体" w:cs="宋体"/>
                <w:bCs/>
                <w:color w:val="auto"/>
                <w:sz w:val="24"/>
                <w:szCs w:val="24"/>
                <w:highlight w:val="none"/>
              </w:rPr>
              <w:t>投标时</w:t>
            </w:r>
            <w:r>
              <w:rPr>
                <w:rFonts w:hint="eastAsia" w:ascii="宋体" w:hAnsi="宋体" w:eastAsia="宋体" w:cs="宋体"/>
                <w:bCs/>
                <w:color w:val="auto"/>
                <w:sz w:val="24"/>
                <w:szCs w:val="24"/>
                <w:highlight w:val="none"/>
                <w:lang w:val="en-US" w:eastAsia="zh-CN"/>
              </w:rPr>
              <w:t>须</w:t>
            </w:r>
            <w:r>
              <w:rPr>
                <w:rFonts w:hint="eastAsia" w:ascii="宋体" w:hAnsi="宋体" w:eastAsia="宋体" w:cs="宋体"/>
                <w:bCs/>
                <w:color w:val="auto"/>
                <w:sz w:val="24"/>
                <w:szCs w:val="24"/>
                <w:highlight w:val="none"/>
              </w:rPr>
              <w:t>提供上述相关证书</w:t>
            </w:r>
            <w:r>
              <w:rPr>
                <w:rFonts w:hint="eastAsia" w:ascii="宋体" w:hAnsi="宋体" w:eastAsia="宋体" w:cs="宋体"/>
                <w:b w:val="0"/>
                <w:bCs w:val="0"/>
                <w:color w:val="auto"/>
                <w:sz w:val="24"/>
                <w:szCs w:val="24"/>
                <w:highlight w:val="none"/>
                <w:lang w:eastAsia="zh-CN"/>
              </w:rPr>
              <w:t>复印件并加盖公章</w:t>
            </w:r>
            <w:r>
              <w:rPr>
                <w:rFonts w:hint="eastAsia" w:ascii="宋体" w:hAnsi="宋体" w:eastAsia="宋体" w:cs="宋体"/>
                <w:bCs/>
                <w:color w:val="auto"/>
                <w:sz w:val="24"/>
                <w:szCs w:val="24"/>
                <w:highlight w:val="none"/>
                <w:lang w:eastAsia="zh-CN"/>
              </w:rPr>
              <w:t>，</w:t>
            </w:r>
            <w:r>
              <w:rPr>
                <w:rFonts w:hint="eastAsia" w:ascii="宋体" w:hAnsi="宋体" w:eastAsia="宋体" w:cs="宋体"/>
                <w:bCs/>
                <w:color w:val="auto"/>
                <w:sz w:val="24"/>
                <w:szCs w:val="24"/>
                <w:highlight w:val="none"/>
              </w:rPr>
              <w:t>未提供的不得分）。</w:t>
            </w:r>
          </w:p>
        </w:tc>
      </w:tr>
      <w:bookmarkEnd w:id="34"/>
    </w:tbl>
    <w:p>
      <w:pPr>
        <w:pStyle w:val="32"/>
        <w:numPr>
          <w:ilvl w:val="0"/>
          <w:numId w:val="0"/>
        </w:numPr>
        <w:rPr>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3、价格部分</w:t>
      </w:r>
    </w:p>
    <w:tbl>
      <w:tblPr>
        <w:tblStyle w:val="30"/>
        <w:tblW w:w="10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671"/>
        <w:gridCol w:w="970"/>
        <w:gridCol w:w="7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94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671"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970"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2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4" w:hRule="atLeast"/>
          <w:jc w:val="center"/>
        </w:trPr>
        <w:tc>
          <w:tcPr>
            <w:tcW w:w="94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671"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价格部分</w:t>
            </w:r>
          </w:p>
        </w:tc>
        <w:tc>
          <w:tcPr>
            <w:tcW w:w="970"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分</w:t>
            </w:r>
          </w:p>
        </w:tc>
        <w:tc>
          <w:tcPr>
            <w:tcW w:w="7230"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color w:val="auto"/>
                <w:sz w:val="24"/>
                <w:szCs w:val="24"/>
                <w:highlight w:val="none"/>
              </w:rPr>
            </w:pPr>
            <w:bookmarkStart w:id="36" w:name="OLE_LINK14"/>
            <w:r>
              <w:rPr>
                <w:rFonts w:hint="eastAsia" w:ascii="宋体" w:hAnsi="宋体" w:eastAsia="宋体" w:cs="宋体"/>
                <w:color w:val="auto"/>
                <w:sz w:val="24"/>
                <w:szCs w:val="24"/>
                <w:highlight w:val="none"/>
                <w:lang w:val="en-US" w:eastAsia="zh-CN"/>
              </w:rPr>
              <w:t>采用低价优先法计算，即满足</w:t>
            </w:r>
            <w:r>
              <w:rPr>
                <w:rFonts w:hint="eastAsia" w:ascii="宋体" w:hAnsi="宋体" w:cs="宋体"/>
                <w:color w:val="auto"/>
                <w:sz w:val="24"/>
                <w:szCs w:val="24"/>
                <w:highlight w:val="none"/>
                <w:lang w:val="en-US" w:eastAsia="zh-CN"/>
              </w:rPr>
              <w:t>招标文件</w:t>
            </w:r>
            <w:r>
              <w:rPr>
                <w:rFonts w:hint="eastAsia" w:ascii="宋体" w:hAnsi="宋体" w:eastAsia="宋体" w:cs="宋体"/>
                <w:color w:val="auto"/>
                <w:sz w:val="24"/>
                <w:szCs w:val="24"/>
                <w:highlight w:val="none"/>
                <w:lang w:val="en-US" w:eastAsia="zh-CN"/>
              </w:rPr>
              <w:t>要求且投标价格最低的报价为评标基准价，其价格分为满分。其他报价人的价格分统一按照下列公式计算：投标报价得分=（评标基准价/投标报价）×</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分。（以四舍五入法，保留两位小数）</w:t>
            </w:r>
            <w:bookmarkEnd w:id="36"/>
          </w:p>
        </w:tc>
      </w:tr>
    </w:tbl>
    <w:p>
      <w:pPr>
        <w:jc w:val="left"/>
        <w:rPr>
          <w:rFonts w:ascii="宋体" w:hAnsi="宋体"/>
          <w:b/>
          <w:bCs/>
          <w:color w:val="auto"/>
          <w:sz w:val="24"/>
          <w:szCs w:val="24"/>
          <w:highlight w:val="none"/>
        </w:rPr>
      </w:pPr>
    </w:p>
    <w:p>
      <w:pPr>
        <w:ind w:firstLine="361" w:firstLineChars="150"/>
        <w:rPr>
          <w:rFonts w:ascii="宋体" w:hAnsi="宋体"/>
          <w:b/>
          <w:bCs/>
          <w:color w:val="auto"/>
          <w:sz w:val="24"/>
          <w:highlight w:val="none"/>
        </w:rPr>
      </w:pPr>
      <w:r>
        <w:rPr>
          <w:rFonts w:hint="eastAsia" w:ascii="宋体" w:hAnsi="宋体"/>
          <w:b/>
          <w:bCs/>
          <w:color w:val="auto"/>
          <w:sz w:val="24"/>
          <w:highlight w:val="none"/>
        </w:rPr>
        <w:t>备注一：</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1、评分过程中如出现小数点后三位，采用四舍五入法，最终保留两位小数；</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2、投标文件中必须提供以上相关证明材料复印件，否则不予加分。</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3、中标单位对照综合评分的所有得分，在今后签订合同、生产过程、驻厂监造和交付验收直至调试投运时发现有作假情况，视为投标虚假，按相关规定进行终止合同等相应处罚。</w:t>
      </w:r>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rPr>
        <w:t>备注二：</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①、所有提供的证明材料必须保证清晰，内容模糊无法确认的后果由投标人自负。</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②、所有提供的证明材料必须为真实、有效，一旦中标，需方将视情况到厂检查，如发现虚假情况等，将对供方处以扣除履约保证金的违约处罚。</w:t>
      </w: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ascii="黑体" w:hAnsi="黑体" w:eastAsia="黑体"/>
          <w:color w:val="auto"/>
          <w:sz w:val="28"/>
          <w:highlight w:val="none"/>
        </w:rPr>
      </w:pPr>
      <w:bookmarkStart w:id="37" w:name="OLE_LINK17"/>
      <w:r>
        <w:rPr>
          <w:rFonts w:hint="eastAsia" w:ascii="黑体" w:hAnsi="黑体" w:eastAsia="黑体"/>
          <w:color w:val="auto"/>
          <w:sz w:val="28"/>
          <w:highlight w:val="none"/>
          <w:lang w:val="en-US" w:eastAsia="zh-CN"/>
        </w:rPr>
        <w:t>第</w:t>
      </w:r>
      <w:r>
        <w:rPr>
          <w:rFonts w:hint="eastAsia" w:ascii="黑体" w:hAnsi="黑体" w:eastAsia="黑体"/>
          <w:color w:val="auto"/>
          <w:sz w:val="28"/>
          <w:highlight w:val="none"/>
        </w:rPr>
        <w:t>四章 项目技术要求和有关说明</w:t>
      </w:r>
      <w:bookmarkEnd w:id="31"/>
      <w:bookmarkEnd w:id="33"/>
      <w:bookmarkEnd w:id="37"/>
    </w:p>
    <w:p>
      <w:pPr>
        <w:spacing w:line="360" w:lineRule="auto"/>
        <w:rPr>
          <w:rFonts w:hint="default" w:ascii="宋体" w:hAnsi="宋体" w:eastAsiaTheme="minorEastAsia"/>
          <w:color w:val="auto"/>
          <w:sz w:val="24"/>
          <w:szCs w:val="24"/>
          <w:highlight w:val="none"/>
          <w:lang w:val="en-US" w:eastAsia="zh-CN"/>
        </w:rPr>
      </w:pPr>
      <w:bookmarkStart w:id="38" w:name="_Toc487900374"/>
      <w:r>
        <w:rPr>
          <w:rFonts w:hint="eastAsia" w:ascii="宋体" w:hAnsi="宋体"/>
          <w:color w:val="auto"/>
          <w:sz w:val="24"/>
          <w:szCs w:val="24"/>
          <w:highlight w:val="none"/>
          <w:lang w:val="en-US" w:eastAsia="zh-CN"/>
        </w:rPr>
        <w:t>一、项目概况</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本项目为</w:t>
      </w:r>
      <w:r>
        <w:rPr>
          <w:rFonts w:hint="eastAsia" w:ascii="宋体" w:hAnsi="宋体"/>
          <w:color w:val="auto"/>
          <w:sz w:val="24"/>
          <w:szCs w:val="24"/>
          <w:highlight w:val="none"/>
          <w:lang w:eastAsia="zh-CN"/>
        </w:rPr>
        <w:t>宜兴市排水有限公司</w:t>
      </w:r>
      <w:r>
        <w:rPr>
          <w:rFonts w:hint="eastAsia" w:ascii="宋体" w:hAnsi="宋体"/>
          <w:color w:val="auto"/>
          <w:sz w:val="24"/>
          <w:szCs w:val="24"/>
          <w:highlight w:val="none"/>
          <w:lang w:val="en-US" w:eastAsia="zh-CN"/>
        </w:rPr>
        <w:t>的</w:t>
      </w:r>
      <w:r>
        <w:rPr>
          <w:rFonts w:hint="eastAsia" w:ascii="宋体" w:hAnsi="宋体"/>
          <w:color w:val="auto"/>
          <w:sz w:val="24"/>
          <w:szCs w:val="24"/>
          <w:highlight w:val="none"/>
          <w:lang w:eastAsia="zh-CN"/>
        </w:rPr>
        <w:t>液压动力站采购项目</w:t>
      </w:r>
      <w:r>
        <w:rPr>
          <w:rFonts w:ascii="宋体" w:hAnsi="宋体"/>
          <w:color w:val="auto"/>
          <w:sz w:val="24"/>
          <w:szCs w:val="24"/>
          <w:highlight w:val="none"/>
        </w:rPr>
        <w:t>。</w:t>
      </w:r>
    </w:p>
    <w:p>
      <w:pPr>
        <w:spacing w:line="360" w:lineRule="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二、技术参数</w:t>
      </w:r>
    </w:p>
    <w:p>
      <w:pPr>
        <w:rPr>
          <w:rFonts w:hint="eastAsia" w:ascii="宋体" w:hAnsi="宋体" w:eastAsia="宋体" w:cs="宋体"/>
          <w:b/>
          <w:bCs/>
          <w:color w:val="auto"/>
          <w:sz w:val="24"/>
          <w:szCs w:val="32"/>
          <w:highlight w:val="none"/>
          <w:lang w:val="en-US" w:eastAsia="zh-CN"/>
        </w:rPr>
      </w:pPr>
      <w:r>
        <w:rPr>
          <w:rFonts w:hint="eastAsia" w:ascii="宋体" w:hAnsi="宋体" w:eastAsia="宋体" w:cs="宋体"/>
          <w:b/>
          <w:bCs/>
          <w:color w:val="auto"/>
          <w:sz w:val="24"/>
          <w:szCs w:val="32"/>
          <w:highlight w:val="none"/>
          <w:lang w:val="en-US" w:eastAsia="zh-CN"/>
        </w:rPr>
        <w:t>1、采购清单：</w:t>
      </w:r>
    </w:p>
    <w:tbl>
      <w:tblPr>
        <w:tblStyle w:val="31"/>
        <w:tblW w:w="86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4"/>
        <w:gridCol w:w="2174"/>
        <w:gridCol w:w="2174"/>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2174" w:type="dxa"/>
            <w:vAlign w:val="center"/>
          </w:tcPr>
          <w:p>
            <w:pPr>
              <w:jc w:val="center"/>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序号</w:t>
            </w:r>
          </w:p>
        </w:tc>
        <w:tc>
          <w:tcPr>
            <w:tcW w:w="2174" w:type="dxa"/>
            <w:vAlign w:val="center"/>
          </w:tcPr>
          <w:p>
            <w:pPr>
              <w:jc w:val="center"/>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产品名称</w:t>
            </w:r>
          </w:p>
        </w:tc>
        <w:tc>
          <w:tcPr>
            <w:tcW w:w="2174" w:type="dxa"/>
            <w:vAlign w:val="center"/>
          </w:tcPr>
          <w:p>
            <w:pPr>
              <w:jc w:val="center"/>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数量</w:t>
            </w:r>
          </w:p>
        </w:tc>
        <w:tc>
          <w:tcPr>
            <w:tcW w:w="2175" w:type="dxa"/>
            <w:vAlign w:val="center"/>
          </w:tcPr>
          <w:p>
            <w:pPr>
              <w:jc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jc w:val="center"/>
        </w:trPr>
        <w:tc>
          <w:tcPr>
            <w:tcW w:w="2174" w:type="dxa"/>
            <w:vAlign w:val="center"/>
          </w:tcPr>
          <w:p>
            <w:pPr>
              <w:jc w:val="center"/>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1</w:t>
            </w:r>
          </w:p>
        </w:tc>
        <w:tc>
          <w:tcPr>
            <w:tcW w:w="2174" w:type="dxa"/>
            <w:vAlign w:val="center"/>
          </w:tcPr>
          <w:p>
            <w:pPr>
              <w:jc w:val="center"/>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rPr>
              <w:t>液压动力站</w:t>
            </w:r>
          </w:p>
        </w:tc>
        <w:tc>
          <w:tcPr>
            <w:tcW w:w="2174" w:type="dxa"/>
            <w:vMerge w:val="restart"/>
            <w:vAlign w:val="center"/>
          </w:tcPr>
          <w:p>
            <w:pPr>
              <w:jc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2套</w:t>
            </w:r>
          </w:p>
        </w:tc>
        <w:tc>
          <w:tcPr>
            <w:tcW w:w="2175" w:type="dxa"/>
            <w:vMerge w:val="restart"/>
            <w:vAlign w:val="center"/>
          </w:tcPr>
          <w:p>
            <w:pPr>
              <w:jc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详见下表详细文字说明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2174" w:type="dxa"/>
            <w:vAlign w:val="center"/>
          </w:tcPr>
          <w:p>
            <w:pPr>
              <w:jc w:val="center"/>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w:t>
            </w:r>
          </w:p>
        </w:tc>
        <w:tc>
          <w:tcPr>
            <w:tcW w:w="2174" w:type="dxa"/>
            <w:vAlign w:val="center"/>
          </w:tcPr>
          <w:p>
            <w:pPr>
              <w:jc w:val="center"/>
              <w:rPr>
                <w:rFonts w:hint="eastAsia" w:ascii="宋体" w:hAnsi="宋体" w:eastAsia="宋体" w:cs="宋体"/>
                <w:color w:val="auto"/>
                <w:sz w:val="28"/>
                <w:szCs w:val="28"/>
                <w:highlight w:val="none"/>
                <w:vertAlign w:val="baseline"/>
                <w:lang w:val="en-US" w:eastAsia="zh-CN"/>
              </w:rPr>
            </w:pPr>
            <w:r>
              <w:rPr>
                <w:rFonts w:hint="eastAsia" w:ascii="宋体" w:hAnsi="宋体"/>
                <w:color w:val="auto"/>
                <w:sz w:val="22"/>
                <w:szCs w:val="22"/>
                <w:highlight w:val="none"/>
              </w:rPr>
              <w:t>8寸液压</w:t>
            </w:r>
            <w:r>
              <w:rPr>
                <w:rFonts w:hint="eastAsia" w:ascii="宋体" w:hAnsi="宋体"/>
                <w:color w:val="auto"/>
                <w:sz w:val="22"/>
                <w:szCs w:val="22"/>
                <w:highlight w:val="none"/>
                <w:lang w:val="en-US" w:eastAsia="zh-CN"/>
              </w:rPr>
              <w:t>大流量</w:t>
            </w:r>
            <w:r>
              <w:rPr>
                <w:rFonts w:hint="eastAsia" w:ascii="宋体" w:hAnsi="宋体"/>
                <w:color w:val="auto"/>
                <w:sz w:val="22"/>
                <w:szCs w:val="22"/>
                <w:highlight w:val="none"/>
              </w:rPr>
              <w:t>泵</w:t>
            </w:r>
          </w:p>
        </w:tc>
        <w:tc>
          <w:tcPr>
            <w:tcW w:w="2174" w:type="dxa"/>
            <w:vMerge w:val="continue"/>
            <w:vAlign w:val="center"/>
          </w:tcPr>
          <w:p>
            <w:pPr>
              <w:jc w:val="center"/>
              <w:rPr>
                <w:rFonts w:hint="eastAsia" w:ascii="宋体" w:hAnsi="宋体" w:eastAsia="宋体" w:cs="宋体"/>
                <w:color w:val="auto"/>
                <w:sz w:val="24"/>
                <w:szCs w:val="24"/>
                <w:highlight w:val="none"/>
                <w:vertAlign w:val="baseline"/>
                <w:lang w:val="en-US" w:eastAsia="zh-CN"/>
              </w:rPr>
            </w:pPr>
          </w:p>
        </w:tc>
        <w:tc>
          <w:tcPr>
            <w:tcW w:w="2175" w:type="dxa"/>
            <w:vMerge w:val="continue"/>
            <w:vAlign w:val="center"/>
          </w:tcPr>
          <w:p>
            <w:pPr>
              <w:jc w:val="center"/>
              <w:rPr>
                <w:rFonts w:hint="eastAsia" w:ascii="宋体" w:hAnsi="宋体" w:eastAsia="宋体" w:cs="宋体"/>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2174" w:type="dxa"/>
            <w:vAlign w:val="center"/>
          </w:tcPr>
          <w:p>
            <w:pPr>
              <w:jc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3</w:t>
            </w:r>
          </w:p>
        </w:tc>
        <w:tc>
          <w:tcPr>
            <w:tcW w:w="2174" w:type="dxa"/>
            <w:vAlign w:val="center"/>
          </w:tcPr>
          <w:p>
            <w:pPr>
              <w:jc w:val="center"/>
              <w:rPr>
                <w:rFonts w:hint="eastAsia" w:ascii="宋体" w:hAnsi="宋体" w:eastAsia="宋体" w:cs="宋体"/>
                <w:color w:val="auto"/>
                <w:sz w:val="28"/>
                <w:szCs w:val="28"/>
                <w:highlight w:val="none"/>
                <w:vertAlign w:val="baseline"/>
                <w:lang w:val="en-US" w:eastAsia="zh-CN"/>
              </w:rPr>
            </w:pPr>
            <w:r>
              <w:rPr>
                <w:rFonts w:hint="eastAsia" w:ascii="宋体" w:hAnsi="宋体"/>
                <w:color w:val="auto"/>
                <w:sz w:val="22"/>
                <w:szCs w:val="22"/>
                <w:highlight w:val="none"/>
                <w:lang w:val="en-US" w:eastAsia="zh-CN"/>
              </w:rPr>
              <w:t>4寸液压渣浆泵</w:t>
            </w:r>
          </w:p>
        </w:tc>
        <w:tc>
          <w:tcPr>
            <w:tcW w:w="2174" w:type="dxa"/>
            <w:vMerge w:val="continue"/>
            <w:vAlign w:val="center"/>
          </w:tcPr>
          <w:p>
            <w:pPr>
              <w:jc w:val="center"/>
              <w:rPr>
                <w:rFonts w:hint="eastAsia" w:ascii="宋体" w:hAnsi="宋体" w:eastAsia="宋体" w:cs="宋体"/>
                <w:color w:val="auto"/>
                <w:sz w:val="24"/>
                <w:szCs w:val="24"/>
                <w:highlight w:val="none"/>
                <w:vertAlign w:val="baseline"/>
                <w:lang w:val="en-US" w:eastAsia="zh-CN"/>
              </w:rPr>
            </w:pPr>
          </w:p>
        </w:tc>
        <w:tc>
          <w:tcPr>
            <w:tcW w:w="2175" w:type="dxa"/>
            <w:vMerge w:val="continue"/>
            <w:vAlign w:val="center"/>
          </w:tcPr>
          <w:p>
            <w:pPr>
              <w:jc w:val="center"/>
              <w:rPr>
                <w:rFonts w:hint="eastAsia" w:ascii="宋体" w:hAnsi="宋体" w:eastAsia="宋体" w:cs="宋体"/>
                <w:color w:val="auto"/>
                <w:sz w:val="24"/>
                <w:szCs w:val="24"/>
                <w:highlight w:val="none"/>
                <w:vertAlign w:val="baseline"/>
                <w:lang w:val="en-US" w:eastAsia="zh-CN"/>
              </w:rPr>
            </w:pPr>
          </w:p>
        </w:tc>
      </w:tr>
    </w:tbl>
    <w:p>
      <w:pPr>
        <w:rPr>
          <w:rFonts w:hint="default" w:ascii="宋体" w:hAnsi="宋体" w:eastAsia="宋体" w:cs="宋体"/>
          <w:b w:val="0"/>
          <w:bCs/>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w:t>
      </w:r>
      <w:r>
        <w:rPr>
          <w:rFonts w:hint="eastAsia" w:ascii="宋体" w:hAnsi="宋体" w:eastAsia="宋体" w:cs="宋体"/>
          <w:b/>
          <w:bCs w:val="0"/>
          <w:color w:val="auto"/>
          <w:sz w:val="24"/>
          <w:szCs w:val="24"/>
          <w:highlight w:val="none"/>
        </w:rPr>
        <w:t>液压设备</w:t>
      </w:r>
    </w:p>
    <w:tbl>
      <w:tblPr>
        <w:tblStyle w:val="30"/>
        <w:tblW w:w="101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03"/>
        <w:gridCol w:w="7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序号</w:t>
            </w:r>
          </w:p>
        </w:tc>
        <w:tc>
          <w:tcPr>
            <w:tcW w:w="1403" w:type="dxa"/>
            <w:vAlign w:val="center"/>
          </w:tcPr>
          <w:p>
            <w:pPr>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产品名称</w:t>
            </w:r>
          </w:p>
        </w:tc>
        <w:tc>
          <w:tcPr>
            <w:tcW w:w="7934" w:type="dxa"/>
            <w:vAlign w:val="center"/>
          </w:tcPr>
          <w:p>
            <w:pPr>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主要性能及技术参数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403" w:type="dxa"/>
            <w:vAlign w:val="center"/>
          </w:tcPr>
          <w:p>
            <w:pPr>
              <w:spacing w:line="30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液压动力站</w:t>
            </w:r>
          </w:p>
        </w:tc>
        <w:tc>
          <w:tcPr>
            <w:tcW w:w="7934" w:type="dxa"/>
            <w:vAlign w:val="center"/>
          </w:tcPr>
          <w:p>
            <w:pPr>
              <w:spacing w:line="30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 xml:space="preserve">1. </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整套液压设备提供液压动力源和12V电能,液压</w:t>
            </w:r>
            <w:r>
              <w:rPr>
                <w:rFonts w:hint="eastAsia" w:ascii="宋体" w:hAnsi="宋体" w:eastAsia="宋体" w:cs="宋体"/>
                <w:color w:val="auto"/>
                <w:sz w:val="24"/>
                <w:szCs w:val="24"/>
                <w:highlight w:val="none"/>
              </w:rPr>
              <w:t>动力</w:t>
            </w:r>
            <w:r>
              <w:rPr>
                <w:rFonts w:hint="eastAsia" w:ascii="宋体" w:hAnsi="宋体" w:eastAsia="宋体" w:cs="宋体"/>
                <w:color w:val="auto"/>
                <w:kern w:val="0"/>
                <w:sz w:val="24"/>
                <w:szCs w:val="24"/>
                <w:highlight w:val="none"/>
              </w:rPr>
              <w:t>站主要由发动机和液压系统组成，动力站移动方便、灵活，能适应在各种恶劣环境下作业</w:t>
            </w:r>
            <w:r>
              <w:rPr>
                <w:rFonts w:hint="eastAsia" w:ascii="宋体" w:hAnsi="宋体" w:eastAsia="宋体" w:cs="宋体"/>
                <w:color w:val="auto"/>
                <w:kern w:val="0"/>
                <w:sz w:val="24"/>
                <w:szCs w:val="24"/>
                <w:highlight w:val="none"/>
                <w:lang w:eastAsia="zh-CN"/>
              </w:rPr>
              <w:t>。</w:t>
            </w:r>
          </w:p>
          <w:p>
            <w:pPr>
              <w:spacing w:line="300" w:lineRule="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 技术性能：</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发动机功率≥35马力；</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2.2液压输出流量≥2*30升/每分钟；液压输出压力≥180Bar，2个回路可单独调节不同压力，适应不同的液压工具需求；</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电磁阀控制2个液压回路合流输出，合流流量≥60升/分钟</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尺寸：长度≤113cm；宽度≤65cm；高度≤93cm；</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重量≤210kg；</w:t>
            </w:r>
          </w:p>
          <w:p>
            <w:pPr>
              <w:spacing w:line="30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发动机：2缸4冲程风冷水平轴汽油发动机，欠机油保护；</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为防止连续工作产生高温，动力站</w:t>
            </w:r>
            <w:r>
              <w:rPr>
                <w:rFonts w:hint="eastAsia" w:ascii="宋体" w:hAnsi="宋体" w:eastAsia="宋体" w:cs="宋体"/>
                <w:color w:val="auto"/>
                <w:kern w:val="0"/>
                <w:sz w:val="24"/>
                <w:szCs w:val="24"/>
                <w:highlight w:val="none"/>
                <w:lang w:val="en-US" w:eastAsia="zh-CN"/>
              </w:rPr>
              <w:t>具有良好的散热功能，在正常环境下可连续工作24小时及以上</w:t>
            </w:r>
            <w:r>
              <w:rPr>
                <w:rFonts w:hint="eastAsia" w:ascii="宋体" w:hAnsi="宋体" w:eastAsia="宋体" w:cs="宋体"/>
                <w:color w:val="auto"/>
                <w:kern w:val="0"/>
                <w:sz w:val="24"/>
                <w:szCs w:val="24"/>
                <w:highlight w:val="none"/>
              </w:rPr>
              <w:t>；</w:t>
            </w:r>
          </w:p>
          <w:p>
            <w:pPr>
              <w:spacing w:line="30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液压散热器</w:t>
            </w:r>
            <w:r>
              <w:rPr>
                <w:rFonts w:hint="eastAsia" w:ascii="宋体" w:hAnsi="宋体" w:eastAsia="宋体" w:cs="宋体"/>
                <w:color w:val="auto"/>
                <w:kern w:val="0"/>
                <w:sz w:val="24"/>
                <w:szCs w:val="24"/>
                <w:highlight w:val="none"/>
                <w:lang w:val="en-US" w:eastAsia="zh-CN"/>
              </w:rPr>
              <w:t>离心</w:t>
            </w:r>
            <w:r>
              <w:rPr>
                <w:rFonts w:hint="eastAsia" w:ascii="宋体" w:hAnsi="宋体" w:eastAsia="宋体" w:cs="宋体"/>
                <w:color w:val="auto"/>
                <w:kern w:val="0"/>
                <w:sz w:val="24"/>
                <w:szCs w:val="24"/>
                <w:highlight w:val="none"/>
              </w:rPr>
              <w:t>风扇材质为聚氨酯，叶轮和铝轴孔一体注塑成型</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电启动，液压油箱≥</w:t>
            </w:r>
            <w:r>
              <w:rPr>
                <w:rFonts w:hint="eastAsia" w:ascii="宋体" w:hAnsi="宋体" w:eastAsia="宋体" w:cs="宋体"/>
                <w:color w:val="auto"/>
                <w:kern w:val="0"/>
                <w:sz w:val="24"/>
                <w:szCs w:val="24"/>
                <w:highlight w:val="none"/>
                <w:lang w:val="en-US" w:eastAsia="zh-CN"/>
              </w:rPr>
              <w:t>25</w:t>
            </w:r>
            <w:r>
              <w:rPr>
                <w:rFonts w:hint="eastAsia" w:ascii="宋体" w:hAnsi="宋体" w:eastAsia="宋体" w:cs="宋体"/>
                <w:color w:val="auto"/>
                <w:kern w:val="0"/>
                <w:sz w:val="24"/>
                <w:szCs w:val="24"/>
                <w:highlight w:val="none"/>
              </w:rPr>
              <w:t>升；燃油箱≥</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 xml:space="preserve">0升，带计时器； </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2.9发动机和液压系统安装底座都采用减震垫，减少震动和噪音；</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2.10前后双不锈钢把手，轮胎直径≥38cm，方便工地现场移动；</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 液压动力站和液压工具连接方式：采用液压软管快换接头的连接方式。</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2.12标配原装进口液压软管一对用于液压动力站与工具的连接，要求:一对（2条）装，金属丝编织层，带快换接头，3/4寸，长度≥10m/条；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p>
        </w:tc>
        <w:tc>
          <w:tcPr>
            <w:tcW w:w="1403" w:type="dxa"/>
            <w:vAlign w:val="center"/>
          </w:tcPr>
          <w:p>
            <w:pPr>
              <w:spacing w:line="30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8寸液压</w:t>
            </w:r>
            <w:r>
              <w:rPr>
                <w:rFonts w:hint="eastAsia" w:ascii="宋体" w:hAnsi="宋体" w:eastAsia="宋体" w:cs="宋体"/>
                <w:color w:val="auto"/>
                <w:sz w:val="24"/>
                <w:szCs w:val="24"/>
                <w:highlight w:val="none"/>
                <w:lang w:val="en-US" w:eastAsia="zh-CN"/>
              </w:rPr>
              <w:t>大流量</w:t>
            </w:r>
            <w:r>
              <w:rPr>
                <w:rFonts w:hint="eastAsia" w:ascii="宋体" w:hAnsi="宋体" w:eastAsia="宋体" w:cs="宋体"/>
                <w:color w:val="auto"/>
                <w:sz w:val="24"/>
                <w:szCs w:val="24"/>
                <w:highlight w:val="none"/>
              </w:rPr>
              <w:t>泵</w:t>
            </w:r>
          </w:p>
        </w:tc>
        <w:tc>
          <w:tcPr>
            <w:tcW w:w="7934" w:type="dxa"/>
            <w:vAlign w:val="center"/>
          </w:tcPr>
          <w:p>
            <w:pP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重型潜入式排污泵，可以泵送大量液体，可空转，用于城区防汛排涝，便于清理维护</w:t>
            </w:r>
            <w:r>
              <w:rPr>
                <w:rFonts w:hint="eastAsia" w:ascii="宋体" w:hAnsi="宋体" w:eastAsia="宋体" w:cs="宋体"/>
                <w:color w:val="auto"/>
                <w:kern w:val="0"/>
                <w:sz w:val="24"/>
                <w:szCs w:val="24"/>
                <w:highlight w:val="none"/>
                <w:lang w:eastAsia="zh-CN"/>
              </w:rPr>
              <w:t>。</w:t>
            </w:r>
          </w:p>
          <w:p>
            <w:pPr>
              <w:spacing w:line="300" w:lineRule="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2.技术性能：</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泵体、叶片采用坚硬耐抗击、耐磨损的含铬铸铁材质，易拆解检修；</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2.2</w:t>
            </w:r>
            <w:r>
              <w:rPr>
                <w:rFonts w:hint="eastAsia" w:ascii="宋体" w:hAnsi="宋体" w:eastAsia="宋体" w:cs="宋体"/>
                <w:color w:val="auto"/>
                <w:kern w:val="0"/>
                <w:sz w:val="24"/>
                <w:szCs w:val="24"/>
                <w:highlight w:val="none"/>
              </w:rPr>
              <w:t>液压输入流量=50-70升/每分钟；液压输入压力150-200巴；</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高度≤55cm；宽度≤42cm；重量≤5</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kg。</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排水口径≤200cm；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最高扬程≥8m；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最大泵送固体颗粒≥2.5cm；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排水量≥</w:t>
            </w:r>
            <w:r>
              <w:rPr>
                <w:rFonts w:hint="eastAsia" w:ascii="宋体" w:hAnsi="宋体" w:eastAsia="宋体" w:cs="宋体"/>
                <w:color w:val="auto"/>
                <w:kern w:val="0"/>
                <w:sz w:val="24"/>
                <w:szCs w:val="24"/>
                <w:highlight w:val="none"/>
                <w:lang w:val="en-US" w:eastAsia="zh-CN"/>
              </w:rPr>
              <w:t>610 m</w:t>
            </w:r>
            <w:r>
              <w:rPr>
                <w:rFonts w:hint="eastAsia" w:ascii="宋体" w:hAnsi="宋体" w:eastAsia="宋体" w:cs="宋体"/>
                <w:color w:val="auto"/>
                <w:kern w:val="0"/>
                <w:sz w:val="24"/>
                <w:szCs w:val="24"/>
                <w:highlight w:val="none"/>
                <w:vertAlign w:val="superscript"/>
                <w:lang w:val="en-US" w:eastAsia="zh-CN"/>
              </w:rPr>
              <w:t>3</w:t>
            </w:r>
            <w:r>
              <w:rPr>
                <w:rFonts w:hint="eastAsia" w:ascii="宋体" w:hAnsi="宋体" w:eastAsia="宋体" w:cs="宋体"/>
                <w:color w:val="auto"/>
                <w:kern w:val="0"/>
                <w:sz w:val="24"/>
                <w:szCs w:val="24"/>
                <w:highlight w:val="none"/>
                <w:lang w:val="en-US" w:eastAsia="zh-CN"/>
              </w:rPr>
              <w:t>/h</w:t>
            </w:r>
            <w:r>
              <w:rPr>
                <w:rFonts w:hint="eastAsia" w:ascii="宋体" w:hAnsi="宋体" w:eastAsia="宋体" w:cs="宋体"/>
                <w:color w:val="auto"/>
                <w:kern w:val="0"/>
                <w:sz w:val="24"/>
                <w:szCs w:val="24"/>
                <w:highlight w:val="none"/>
              </w:rPr>
              <w:t>；</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采用进口齿轮马达</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马达内置单向阀，可防止突然停机时吸空压力油管；</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连接方式：3/4寸液压软管快换接头。</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2.10附带50米8寸水带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403" w:type="dxa"/>
            <w:vAlign w:val="center"/>
          </w:tcPr>
          <w:p>
            <w:pPr>
              <w:spacing w:line="30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4寸液压渣浆泵</w:t>
            </w:r>
          </w:p>
        </w:tc>
        <w:tc>
          <w:tcPr>
            <w:tcW w:w="7934" w:type="dxa"/>
            <w:vAlign w:val="center"/>
          </w:tcPr>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中</w:t>
            </w:r>
            <w:r>
              <w:rPr>
                <w:rFonts w:hint="eastAsia" w:ascii="宋体" w:hAnsi="宋体" w:eastAsia="宋体" w:cs="宋体"/>
                <w:color w:val="auto"/>
                <w:kern w:val="0"/>
                <w:sz w:val="24"/>
                <w:szCs w:val="24"/>
                <w:highlight w:val="none"/>
              </w:rPr>
              <w:t>型潜入式排污泵，可以泵送大量液体，可空转，用于城区防汛排涝，便于清理维护。</w:t>
            </w:r>
          </w:p>
          <w:p>
            <w:pPr>
              <w:spacing w:line="300" w:lineRule="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2.技术性能：</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泵体、叶片采用坚硬耐抗击、耐磨损的含铬铸铁材质，易拆解检修；</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2.2</w:t>
            </w:r>
            <w:r>
              <w:rPr>
                <w:rFonts w:hint="eastAsia" w:ascii="宋体" w:hAnsi="宋体" w:eastAsia="宋体" w:cs="宋体"/>
                <w:color w:val="auto"/>
                <w:kern w:val="0"/>
                <w:sz w:val="24"/>
                <w:szCs w:val="24"/>
                <w:highlight w:val="none"/>
              </w:rPr>
              <w:t>液压输入流量=</w:t>
            </w:r>
            <w:r>
              <w:rPr>
                <w:rFonts w:hint="eastAsia" w:ascii="宋体" w:hAnsi="宋体" w:eastAsia="宋体" w:cs="宋体"/>
                <w:color w:val="auto"/>
                <w:kern w:val="0"/>
                <w:sz w:val="24"/>
                <w:szCs w:val="24"/>
                <w:highlight w:val="none"/>
                <w:lang w:val="en-US" w:eastAsia="zh-CN"/>
              </w:rPr>
              <w:t>30</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40</w:t>
            </w:r>
            <w:r>
              <w:rPr>
                <w:rFonts w:hint="eastAsia" w:ascii="宋体" w:hAnsi="宋体" w:eastAsia="宋体" w:cs="宋体"/>
                <w:color w:val="auto"/>
                <w:kern w:val="0"/>
                <w:sz w:val="24"/>
                <w:szCs w:val="24"/>
                <w:highlight w:val="none"/>
              </w:rPr>
              <w:t>升/每分钟；液压输入压力</w:t>
            </w:r>
            <w:r>
              <w:rPr>
                <w:rFonts w:hint="eastAsia" w:ascii="宋体" w:hAnsi="宋体" w:eastAsia="宋体" w:cs="宋体"/>
                <w:color w:val="auto"/>
                <w:kern w:val="0"/>
                <w:sz w:val="24"/>
                <w:szCs w:val="24"/>
                <w:highlight w:val="none"/>
                <w:lang w:val="en-US" w:eastAsia="zh-CN"/>
              </w:rPr>
              <w:t>130</w:t>
            </w:r>
            <w:r>
              <w:rPr>
                <w:rFonts w:hint="eastAsia" w:ascii="宋体" w:hAnsi="宋体" w:eastAsia="宋体" w:cs="宋体"/>
                <w:color w:val="auto"/>
                <w:kern w:val="0"/>
                <w:sz w:val="24"/>
                <w:szCs w:val="24"/>
                <w:highlight w:val="none"/>
              </w:rPr>
              <w:t>-200巴；</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高度≤55cm；宽度≤</w:t>
            </w:r>
            <w:r>
              <w:rPr>
                <w:rFonts w:hint="eastAsia" w:ascii="宋体" w:hAnsi="宋体" w:eastAsia="宋体" w:cs="宋体"/>
                <w:color w:val="auto"/>
                <w:kern w:val="0"/>
                <w:sz w:val="24"/>
                <w:szCs w:val="24"/>
                <w:highlight w:val="none"/>
                <w:lang w:val="en-US" w:eastAsia="zh-CN"/>
              </w:rPr>
              <w:t>50</w:t>
            </w:r>
            <w:r>
              <w:rPr>
                <w:rFonts w:hint="eastAsia" w:ascii="宋体" w:hAnsi="宋体" w:eastAsia="宋体" w:cs="宋体"/>
                <w:color w:val="auto"/>
                <w:kern w:val="0"/>
                <w:sz w:val="24"/>
                <w:szCs w:val="24"/>
                <w:highlight w:val="none"/>
              </w:rPr>
              <w:t>cm；重量≤</w:t>
            </w:r>
            <w:r>
              <w:rPr>
                <w:rFonts w:hint="eastAsia" w:ascii="宋体" w:hAnsi="宋体" w:eastAsia="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rPr>
              <w:t>kg。</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排水口径≤</w:t>
            </w:r>
            <w:r>
              <w:rPr>
                <w:rFonts w:hint="eastAsia" w:ascii="宋体" w:hAnsi="宋体" w:eastAsia="宋体" w:cs="宋体"/>
                <w:color w:val="auto"/>
                <w:kern w:val="0"/>
                <w:sz w:val="24"/>
                <w:szCs w:val="24"/>
                <w:highlight w:val="none"/>
                <w:lang w:val="en-US" w:eastAsia="zh-CN"/>
              </w:rPr>
              <w:t>100</w:t>
            </w:r>
            <w:r>
              <w:rPr>
                <w:rFonts w:hint="eastAsia" w:ascii="宋体" w:hAnsi="宋体" w:eastAsia="宋体" w:cs="宋体"/>
                <w:color w:val="auto"/>
                <w:kern w:val="0"/>
                <w:sz w:val="24"/>
                <w:szCs w:val="24"/>
                <w:highlight w:val="none"/>
              </w:rPr>
              <w:t>cm；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最高扬程≥</w:t>
            </w: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最大泵送固体颗粒≥</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cm；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排水量≥</w:t>
            </w:r>
            <w:r>
              <w:rPr>
                <w:rFonts w:hint="eastAsia" w:ascii="宋体" w:hAnsi="宋体" w:eastAsia="宋体" w:cs="宋体"/>
                <w:color w:val="auto"/>
                <w:kern w:val="0"/>
                <w:sz w:val="24"/>
                <w:szCs w:val="24"/>
                <w:highlight w:val="none"/>
                <w:lang w:val="en-US" w:eastAsia="zh-CN"/>
              </w:rPr>
              <w:t>200 m</w:t>
            </w:r>
            <w:r>
              <w:rPr>
                <w:rFonts w:hint="eastAsia" w:ascii="宋体" w:hAnsi="宋体" w:eastAsia="宋体" w:cs="宋体"/>
                <w:color w:val="auto"/>
                <w:kern w:val="0"/>
                <w:sz w:val="24"/>
                <w:szCs w:val="24"/>
                <w:highlight w:val="none"/>
                <w:vertAlign w:val="superscript"/>
                <w:lang w:val="en-US" w:eastAsia="zh-CN"/>
              </w:rPr>
              <w:t>3</w:t>
            </w:r>
            <w:r>
              <w:rPr>
                <w:rFonts w:hint="eastAsia" w:ascii="宋体" w:hAnsi="宋体" w:eastAsia="宋体" w:cs="宋体"/>
                <w:color w:val="auto"/>
                <w:kern w:val="0"/>
                <w:sz w:val="24"/>
                <w:szCs w:val="24"/>
                <w:highlight w:val="none"/>
                <w:lang w:val="en-US" w:eastAsia="zh-CN"/>
              </w:rPr>
              <w:t>/h</w:t>
            </w:r>
            <w:r>
              <w:rPr>
                <w:rFonts w:hint="eastAsia" w:ascii="宋体" w:hAnsi="宋体" w:eastAsia="宋体" w:cs="宋体"/>
                <w:color w:val="auto"/>
                <w:kern w:val="0"/>
                <w:sz w:val="24"/>
                <w:szCs w:val="24"/>
                <w:highlight w:val="none"/>
              </w:rPr>
              <w:t>；</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采用进口齿轮马达</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马达内置单向阀，可防止突然停机时吸空压力油管；</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2.9</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lang w:val="en-US" w:eastAsia="zh-CN"/>
              </w:rPr>
              <w:t>叶轮背面导流板设计，可在叶轮背面创造一个干净的密封区域；</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连接方式：</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寸液压软管快换接头。</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2.11附带50米4寸水带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847" w:type="dxa"/>
            <w:tcBorders>
              <w:top w:val="single" w:color="auto" w:sz="8" w:space="0"/>
              <w:bottom w:val="single" w:color="auto" w:sz="8" w:space="0"/>
            </w:tcBorders>
            <w:vAlign w:val="center"/>
          </w:tcPr>
          <w:p>
            <w:pPr>
              <w:jc w:val="center"/>
              <w:rPr>
                <w:rFonts w:hint="eastAsia" w:ascii="宋体" w:hAnsi="宋体" w:eastAsia="宋体" w:cs="宋体"/>
                <w:color w:val="auto"/>
                <w:sz w:val="24"/>
                <w:szCs w:val="24"/>
                <w:highlight w:val="none"/>
              </w:rPr>
            </w:pPr>
          </w:p>
        </w:tc>
        <w:tc>
          <w:tcPr>
            <w:tcW w:w="1403" w:type="dxa"/>
            <w:tcBorders>
              <w:top w:val="single" w:color="auto" w:sz="8" w:space="0"/>
              <w:bottom w:val="single" w:color="auto" w:sz="8"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w:t>
            </w:r>
          </w:p>
        </w:tc>
        <w:tc>
          <w:tcPr>
            <w:tcW w:w="7934" w:type="dxa"/>
            <w:tcBorders>
              <w:top w:val="single" w:color="auto" w:sz="8" w:space="0"/>
              <w:bottom w:val="single" w:color="auto" w:sz="8" w:space="0"/>
            </w:tcBorders>
            <w:vAlign w:val="center"/>
          </w:tcPr>
          <w:p>
            <w:pPr>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24"/>
                <w:szCs w:val="24"/>
                <w:highlight w:val="none"/>
                <w:lang w:eastAsia="zh-CN"/>
              </w:rPr>
              <w:t>▲</w:t>
            </w:r>
            <w:r>
              <w:rPr>
                <w:rFonts w:hint="eastAsia" w:ascii="宋体" w:hAnsi="宋体" w:eastAsia="宋体" w:cs="宋体"/>
                <w:b/>
                <w:color w:val="auto"/>
                <w:kern w:val="0"/>
                <w:sz w:val="24"/>
                <w:szCs w:val="24"/>
                <w:highlight w:val="none"/>
              </w:rPr>
              <w:t>为确保液压工具工作性能，以上液压动力站及水泵应为同一品牌</w:t>
            </w:r>
            <w:r>
              <w:rPr>
                <w:rFonts w:hint="eastAsia" w:ascii="宋体" w:hAnsi="宋体" w:eastAsia="宋体" w:cs="宋体"/>
                <w:b/>
                <w:color w:val="auto"/>
                <w:kern w:val="0"/>
                <w:sz w:val="24"/>
                <w:szCs w:val="24"/>
                <w:highlight w:val="none"/>
                <w:lang w:val="en-US" w:eastAsia="zh-CN"/>
              </w:rPr>
              <w:t>的</w:t>
            </w:r>
            <w:r>
              <w:rPr>
                <w:rFonts w:hint="eastAsia" w:ascii="宋体" w:hAnsi="宋体" w:eastAsia="宋体" w:cs="宋体"/>
                <w:b/>
                <w:color w:val="auto"/>
                <w:kern w:val="0"/>
                <w:sz w:val="24"/>
                <w:szCs w:val="24"/>
                <w:highlight w:val="none"/>
              </w:rPr>
              <w:t>产品。</w:t>
            </w:r>
          </w:p>
        </w:tc>
      </w:tr>
    </w:tbl>
    <w:p>
      <w:pPr>
        <w:spacing w:line="360" w:lineRule="auto"/>
        <w:ind w:firstLine="480" w:firstLineChars="200"/>
        <w:rPr>
          <w:rFonts w:hint="default"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三、其他要求</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供货</w:t>
      </w:r>
      <w:r>
        <w:rPr>
          <w:rFonts w:hint="eastAsia" w:ascii="宋体" w:hAnsi="宋体" w:cs="宋体"/>
          <w:color w:val="auto"/>
          <w:sz w:val="24"/>
          <w:szCs w:val="24"/>
          <w:highlight w:val="none"/>
        </w:rPr>
        <w:t>地点：采购人指定地点。</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、验收标准：本服务项目验收标准为合格。验收工作由采购人根据招投标文件、合同约定、考核（验收）办法的相关规定及其他工作要求组织验收。</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供货</w:t>
      </w:r>
      <w:r>
        <w:rPr>
          <w:rFonts w:hint="eastAsia" w:ascii="宋体" w:hAnsi="宋体" w:cs="宋体"/>
          <w:color w:val="auto"/>
          <w:sz w:val="24"/>
          <w:szCs w:val="24"/>
          <w:highlight w:val="none"/>
        </w:rPr>
        <w:t>期限：</w:t>
      </w:r>
      <w:r>
        <w:rPr>
          <w:rFonts w:hint="eastAsia" w:ascii="宋体" w:hAnsi="宋体" w:cs="宋体"/>
          <w:bCs/>
          <w:color w:val="auto"/>
          <w:sz w:val="24"/>
          <w:szCs w:val="24"/>
          <w:highlight w:val="none"/>
        </w:rPr>
        <w:t>合同签订之日起</w:t>
      </w:r>
      <w:r>
        <w:rPr>
          <w:rFonts w:hint="eastAsia" w:ascii="宋体" w:hAnsi="宋体" w:cs="宋体"/>
          <w:bCs/>
          <w:color w:val="auto"/>
          <w:sz w:val="24"/>
          <w:szCs w:val="24"/>
          <w:highlight w:val="none"/>
          <w:lang w:val="en-US" w:eastAsia="zh-CN"/>
        </w:rPr>
        <w:t>50天内完成供货</w:t>
      </w:r>
      <w:r>
        <w:rPr>
          <w:rFonts w:hint="eastAsia" w:ascii="宋体" w:hAnsi="宋体" w:cs="宋体"/>
          <w:color w:val="auto"/>
          <w:sz w:val="24"/>
          <w:szCs w:val="24"/>
          <w:highlight w:val="none"/>
        </w:rPr>
        <w:t>。</w:t>
      </w:r>
    </w:p>
    <w:p>
      <w:pPr>
        <w:spacing w:line="360" w:lineRule="auto"/>
        <w:ind w:firstLine="480" w:firstLineChars="200"/>
        <w:rPr>
          <w:rFonts w:ascii="宋体" w:hAnsi="宋体" w:cs="宋体"/>
          <w:bCs/>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、付款步骤：到货验收合格开具所供货物的全额增值税专用发票后支付70%，三个月使用后无问题付20%，质保期到后付10%。</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rPr>
        <w:t>、其他说明</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1、本项目的工作量均为暂估工作量，最终按</w:t>
      </w:r>
      <w:r>
        <w:rPr>
          <w:rFonts w:hint="eastAsia" w:ascii="宋体" w:hAnsi="宋体" w:cs="宋体"/>
          <w:bCs/>
          <w:color w:val="auto"/>
          <w:sz w:val="24"/>
          <w:szCs w:val="24"/>
          <w:highlight w:val="none"/>
        </w:rPr>
        <w:t>采购人委托的第三方所计量的</w:t>
      </w:r>
      <w:r>
        <w:rPr>
          <w:rFonts w:hint="eastAsia" w:ascii="宋体" w:hAnsi="宋体" w:cs="宋体"/>
          <w:color w:val="auto"/>
          <w:sz w:val="24"/>
          <w:szCs w:val="24"/>
          <w:highlight w:val="none"/>
        </w:rPr>
        <w:t>实际处置工作量进行结算，结算综合单价按照中标综合单价。</w:t>
      </w:r>
    </w:p>
    <w:p>
      <w:pPr>
        <w:spacing w:line="360" w:lineRule="auto"/>
        <w:ind w:left="480"/>
        <w:rPr>
          <w:rFonts w:ascii="宋体" w:hAnsi="宋体" w:cs="微软雅黑"/>
          <w:b/>
          <w:color w:val="auto"/>
          <w:sz w:val="24"/>
          <w:szCs w:val="24"/>
          <w:highlight w:val="none"/>
        </w:rPr>
      </w:pPr>
    </w:p>
    <w:p>
      <w:pPr>
        <w:pStyle w:val="32"/>
        <w:rPr>
          <w:rFonts w:ascii="宋体" w:hAnsi="宋体"/>
          <w:color w:val="auto"/>
          <w:sz w:val="24"/>
          <w:highlight w:val="none"/>
        </w:rPr>
        <w:sectPr>
          <w:footerReference r:id="rId11" w:type="first"/>
          <w:headerReference r:id="rId9" w:type="default"/>
          <w:footerReference r:id="rId10" w:type="default"/>
          <w:pgSz w:w="11906" w:h="16838"/>
          <w:pgMar w:top="1134" w:right="1134" w:bottom="1134" w:left="1134" w:header="851" w:footer="992" w:gutter="0"/>
          <w:pgNumType w:fmt="decimal"/>
          <w:cols w:space="720" w:num="1"/>
          <w:titlePg/>
          <w:docGrid w:linePitch="360" w:charSpace="0"/>
        </w:sectPr>
      </w:pPr>
    </w:p>
    <w:bookmarkEnd w:id="38"/>
    <w:p>
      <w:pPr>
        <w:jc w:val="center"/>
        <w:rPr>
          <w:rFonts w:hint="eastAsia" w:ascii="黑体" w:hAnsi="黑体" w:eastAsia="黑体"/>
          <w:color w:val="auto"/>
          <w:sz w:val="28"/>
          <w:highlight w:val="none"/>
        </w:rPr>
      </w:pPr>
      <w:bookmarkStart w:id="39" w:name="_Toc64637570"/>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五</w:t>
      </w:r>
      <w:r>
        <w:rPr>
          <w:rFonts w:hint="eastAsia" w:ascii="黑体" w:hAnsi="黑体" w:eastAsia="黑体"/>
          <w:color w:val="auto"/>
          <w:sz w:val="28"/>
          <w:highlight w:val="none"/>
        </w:rPr>
        <w:t xml:space="preserve">章 </w:t>
      </w:r>
      <w:r>
        <w:rPr>
          <w:rFonts w:hint="eastAsia" w:ascii="黑体" w:hAnsi="黑体" w:eastAsia="黑体"/>
          <w:color w:val="auto"/>
          <w:sz w:val="28"/>
          <w:highlight w:val="none"/>
          <w:lang w:eastAsia="zh-CN"/>
        </w:rPr>
        <w:t>采购</w:t>
      </w:r>
      <w:r>
        <w:rPr>
          <w:rFonts w:hint="eastAsia" w:ascii="黑体" w:hAnsi="黑体" w:eastAsia="黑体"/>
          <w:color w:val="auto"/>
          <w:sz w:val="28"/>
          <w:highlight w:val="none"/>
        </w:rPr>
        <w:t>合同</w:t>
      </w:r>
    </w:p>
    <w:p>
      <w:pPr>
        <w:spacing w:line="360" w:lineRule="auto"/>
        <w:jc w:val="right"/>
        <w:rPr>
          <w:rFonts w:hint="eastAsia" w:ascii="宋体" w:hAnsi="宋体"/>
          <w:b/>
          <w:color w:val="auto"/>
          <w:sz w:val="28"/>
          <w:szCs w:val="28"/>
          <w:highlight w:val="none"/>
        </w:rPr>
      </w:pPr>
    </w:p>
    <w:p>
      <w:pPr>
        <w:spacing w:line="360" w:lineRule="auto"/>
        <w:rPr>
          <w:rFonts w:hint="eastAsia" w:ascii="宋体" w:eastAsiaTheme="minorEastAsia"/>
          <w:color w:val="auto"/>
          <w:kern w:val="0"/>
          <w:sz w:val="24"/>
          <w:highlight w:val="none"/>
          <w:lang w:eastAsia="zh-CN"/>
        </w:rPr>
      </w:pPr>
      <w:bookmarkStart w:id="40" w:name="_Toc32439"/>
      <w:bookmarkStart w:id="41" w:name="_Toc15580"/>
      <w:r>
        <w:rPr>
          <w:rFonts w:hint="eastAsia" w:ascii="宋体" w:hAnsi="宋体"/>
          <w:color w:val="auto"/>
          <w:kern w:val="0"/>
          <w:sz w:val="24"/>
          <w:highlight w:val="none"/>
          <w:u w:val="single"/>
        </w:rPr>
        <w:t>发包人</w:t>
      </w:r>
      <w:r>
        <w:rPr>
          <w:rFonts w:hint="eastAsia" w:ascii="宋体" w:hAnsi="宋体"/>
          <w:color w:val="auto"/>
          <w:kern w:val="0"/>
          <w:sz w:val="24"/>
          <w:highlight w:val="none"/>
        </w:rPr>
        <w:t>（</w:t>
      </w:r>
      <w:r>
        <w:rPr>
          <w:rFonts w:hint="eastAsia" w:ascii="宋体" w:hAnsi="宋体"/>
          <w:bCs/>
          <w:color w:val="auto"/>
          <w:sz w:val="24"/>
          <w:highlight w:val="none"/>
        </w:rPr>
        <w:t>以下简称甲方</w:t>
      </w:r>
      <w:r>
        <w:rPr>
          <w:rFonts w:hint="eastAsia" w:ascii="宋体" w:hAnsi="宋体"/>
          <w:color w:val="auto"/>
          <w:kern w:val="0"/>
          <w:sz w:val="24"/>
          <w:highlight w:val="none"/>
        </w:rPr>
        <w:t>）：</w:t>
      </w:r>
      <w:r>
        <w:rPr>
          <w:rFonts w:hint="eastAsia" w:ascii="宋体" w:hAnsi="宋体"/>
          <w:bCs/>
          <w:color w:val="auto"/>
          <w:sz w:val="24"/>
          <w:szCs w:val="24"/>
          <w:highlight w:val="none"/>
          <w:u w:val="single"/>
          <w:lang w:eastAsia="zh-CN"/>
        </w:rPr>
        <w:t>宜兴市排水有限公司</w:t>
      </w:r>
    </w:p>
    <w:p>
      <w:pPr>
        <w:spacing w:line="360" w:lineRule="auto"/>
        <w:rPr>
          <w:rFonts w:hint="eastAsia" w:ascii="宋体" w:hAnsi="宋体"/>
          <w:b/>
          <w:color w:val="auto"/>
          <w:sz w:val="28"/>
          <w:szCs w:val="28"/>
          <w:highlight w:val="none"/>
        </w:rPr>
      </w:pPr>
      <w:r>
        <w:rPr>
          <w:rFonts w:hint="eastAsia" w:ascii="宋体" w:hAnsi="宋体"/>
          <w:color w:val="auto"/>
          <w:kern w:val="0"/>
          <w:sz w:val="24"/>
          <w:highlight w:val="none"/>
          <w:u w:val="single"/>
        </w:rPr>
        <w:t>承包人</w:t>
      </w:r>
      <w:r>
        <w:rPr>
          <w:rFonts w:hint="eastAsia" w:ascii="宋体" w:hAnsi="宋体"/>
          <w:color w:val="auto"/>
          <w:kern w:val="0"/>
          <w:sz w:val="24"/>
          <w:highlight w:val="none"/>
        </w:rPr>
        <w:t>（</w:t>
      </w:r>
      <w:r>
        <w:rPr>
          <w:rFonts w:hint="eastAsia" w:ascii="宋体" w:hAnsi="宋体"/>
          <w:bCs/>
          <w:color w:val="auto"/>
          <w:sz w:val="24"/>
          <w:highlight w:val="none"/>
        </w:rPr>
        <w:t>以下简称乙方</w:t>
      </w:r>
      <w:r>
        <w:rPr>
          <w:rFonts w:hint="eastAsia" w:ascii="宋体" w:hAnsi="宋体"/>
          <w:color w:val="auto"/>
          <w:kern w:val="0"/>
          <w:sz w:val="24"/>
          <w:highlight w:val="none"/>
        </w:rPr>
        <w:t>）：</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甲方愿以总价款人民币</w:t>
      </w:r>
      <w:r>
        <w:rPr>
          <w:rFonts w:hint="eastAsia" w:ascii="宋体" w:hAnsi="宋体"/>
          <w:bCs/>
          <w:color w:val="auto"/>
          <w:sz w:val="24"/>
          <w:highlight w:val="none"/>
          <w:u w:val="single"/>
        </w:rPr>
        <w:t xml:space="preserve">      </w:t>
      </w:r>
      <w:r>
        <w:rPr>
          <w:rFonts w:hint="eastAsia" w:ascii="宋体" w:hAnsi="宋体"/>
          <w:bCs/>
          <w:color w:val="auto"/>
          <w:sz w:val="24"/>
          <w:highlight w:val="none"/>
        </w:rPr>
        <w:t>元（大写：）向乙方发包，并经双方协商同意下列条款：</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一、本合同甲、乙双方必须遵守《民法典》，并各自履行应负的全部责任。</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二、下列文件均为本合同不可分割部分：</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（1）合同书及所附条款；（2）中标通知书；（3）乙方中标的投标文件；（4）招标文件（项目编号：YXGQ2025236）；（5）乙方在投标过程中所作的其他有关承诺、声明、书面澄清等。</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三、乙方保证全部按照合同条款的规定完工的期限向甲方提供上述合格的货物或服务。</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四、甲方按照招标文件，组织对乙方所供货物逐项进行验收，在确认货物符合招标需求的基础上，填写相关单据。</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五、乙方供货后开具正式发票和验收单按合同规定的时间、步骤和方法与甲方结算资金。</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六、本合同一式伍份，甲乙双方各持贰份，报送上级主管部门存档一份。</w:t>
      </w:r>
    </w:p>
    <w:p>
      <w:pPr>
        <w:spacing w:line="360" w:lineRule="auto"/>
        <w:jc w:val="center"/>
        <w:outlineLvl w:val="0"/>
        <w:rPr>
          <w:rFonts w:ascii="楷体_GB2312" w:eastAsia="楷体_GB2312"/>
          <w:b/>
          <w:color w:val="auto"/>
          <w:sz w:val="32"/>
          <w:szCs w:val="32"/>
          <w:highlight w:val="none"/>
        </w:rPr>
      </w:pPr>
    </w:p>
    <w:p>
      <w:pPr>
        <w:spacing w:line="360" w:lineRule="auto"/>
        <w:jc w:val="center"/>
        <w:outlineLvl w:val="0"/>
        <w:rPr>
          <w:rFonts w:ascii="楷体_GB2312" w:eastAsia="楷体_GB2312"/>
          <w:b/>
          <w:color w:val="auto"/>
          <w:sz w:val="32"/>
          <w:szCs w:val="32"/>
          <w:highlight w:val="none"/>
        </w:rPr>
      </w:pPr>
    </w:p>
    <w:tbl>
      <w:tblPr>
        <w:tblStyle w:val="30"/>
        <w:tblW w:w="9286" w:type="dxa"/>
        <w:jc w:val="center"/>
        <w:tblInd w:w="0" w:type="dxa"/>
        <w:tblLayout w:type="fixed"/>
        <w:tblCellMar>
          <w:top w:w="0" w:type="dxa"/>
          <w:left w:w="0" w:type="dxa"/>
          <w:bottom w:w="0" w:type="dxa"/>
          <w:right w:w="0" w:type="dxa"/>
        </w:tblCellMar>
      </w:tblPr>
      <w:tblGrid>
        <w:gridCol w:w="4643"/>
        <w:gridCol w:w="4643"/>
      </w:tblGrid>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highlight w:val="none"/>
                <w:lang w:val="zh-CN"/>
              </w:rPr>
            </w:pPr>
            <w:bookmarkStart w:id="42" w:name="OLE_LINK46"/>
            <w:r>
              <w:rPr>
                <w:rFonts w:hint="eastAsia" w:ascii="宋体" w:hAnsi="宋体" w:cs="宋体"/>
                <w:color w:val="auto"/>
                <w:kern w:val="0"/>
                <w:sz w:val="24"/>
                <w:szCs w:val="24"/>
                <w:highlight w:val="none"/>
                <w:lang w:val="zh-CN"/>
              </w:rPr>
              <w:t>甲方（招标人）：（盖章）</w:t>
            </w:r>
            <w:bookmarkEnd w:id="42"/>
          </w:p>
        </w:tc>
        <w:tc>
          <w:tcPr>
            <w:tcW w:w="4643" w:type="dxa"/>
            <w:noWrap w:val="0"/>
            <w:vAlign w:val="top"/>
          </w:tcPr>
          <w:p>
            <w:pPr>
              <w:widowControl/>
              <w:adjustRightInd w:val="0"/>
              <w:jc w:val="left"/>
              <w:rPr>
                <w:rFonts w:ascii="宋体" w:cs="宋体"/>
                <w:color w:val="auto"/>
                <w:kern w:val="0"/>
                <w:sz w:val="24"/>
                <w:szCs w:val="24"/>
                <w:highlight w:val="none"/>
                <w:lang w:val="zh-CN"/>
              </w:rPr>
            </w:pPr>
            <w:r>
              <w:rPr>
                <w:rFonts w:hint="eastAsia" w:ascii="宋体" w:hAnsi="宋体" w:cs="宋体"/>
                <w:color w:val="auto"/>
                <w:kern w:val="0"/>
                <w:sz w:val="24"/>
                <w:szCs w:val="24"/>
                <w:highlight w:val="none"/>
                <w:lang w:val="zh-CN"/>
              </w:rPr>
              <w:t>乙方（供应商）：（盖章）</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highlight w:val="none"/>
              </w:rPr>
            </w:pPr>
            <w:r>
              <w:rPr>
                <w:rFonts w:hint="eastAsia" w:ascii="宋体" w:hAnsi="宋体" w:cs="宋体"/>
                <w:color w:val="auto"/>
                <w:kern w:val="0"/>
                <w:sz w:val="24"/>
                <w:szCs w:val="24"/>
                <w:highlight w:val="none"/>
                <w:lang w:val="zh-CN"/>
              </w:rPr>
              <w:t>代表人签字：</w:t>
            </w:r>
          </w:p>
        </w:tc>
        <w:tc>
          <w:tcPr>
            <w:tcW w:w="4643" w:type="dxa"/>
            <w:noWrap w:val="0"/>
            <w:vAlign w:val="top"/>
          </w:tcPr>
          <w:p>
            <w:pPr>
              <w:widowControl/>
              <w:adjustRightInd w:val="0"/>
              <w:jc w:val="left"/>
              <w:rPr>
                <w:rFonts w:ascii="宋体" w:cs="宋体"/>
                <w:color w:val="auto"/>
                <w:kern w:val="0"/>
                <w:sz w:val="24"/>
                <w:szCs w:val="24"/>
                <w:highlight w:val="none"/>
              </w:rPr>
            </w:pPr>
            <w:r>
              <w:rPr>
                <w:rFonts w:hint="eastAsia" w:ascii="宋体" w:hAnsi="宋体" w:cs="宋体"/>
                <w:color w:val="auto"/>
                <w:kern w:val="0"/>
                <w:sz w:val="24"/>
                <w:szCs w:val="24"/>
                <w:highlight w:val="none"/>
                <w:lang w:val="zh-CN"/>
              </w:rPr>
              <w:t>代表人签字</w:t>
            </w:r>
            <w:r>
              <w:rPr>
                <w:rFonts w:hint="eastAsia" w:ascii="宋体" w:hAnsi="宋体" w:cs="宋体"/>
                <w:color w:val="auto"/>
                <w:kern w:val="0"/>
                <w:sz w:val="24"/>
                <w:szCs w:val="24"/>
                <w:highlight w:val="none"/>
              </w:rPr>
              <w:t>：</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highlight w:val="none"/>
              </w:rPr>
            </w:pPr>
            <w:bookmarkStart w:id="43" w:name="OLE_LINK47"/>
            <w:r>
              <w:rPr>
                <w:rFonts w:hint="eastAsia" w:ascii="宋体" w:hAnsi="宋体" w:cs="宋体"/>
                <w:color w:val="auto"/>
                <w:kern w:val="0"/>
                <w:sz w:val="24"/>
                <w:szCs w:val="24"/>
                <w:highlight w:val="none"/>
                <w:lang w:val="zh-CN"/>
              </w:rPr>
              <w:t>电话：</w:t>
            </w:r>
            <w:bookmarkEnd w:id="43"/>
          </w:p>
        </w:tc>
        <w:tc>
          <w:tcPr>
            <w:tcW w:w="4643" w:type="dxa"/>
            <w:noWrap w:val="0"/>
            <w:vAlign w:val="top"/>
          </w:tcPr>
          <w:p>
            <w:pPr>
              <w:widowControl/>
              <w:adjustRightInd w:val="0"/>
              <w:jc w:val="left"/>
              <w:rPr>
                <w:rFonts w:ascii="宋体" w:cs="宋体"/>
                <w:color w:val="auto"/>
                <w:kern w:val="0"/>
                <w:sz w:val="24"/>
                <w:szCs w:val="24"/>
                <w:highlight w:val="none"/>
              </w:rPr>
            </w:pPr>
            <w:r>
              <w:rPr>
                <w:rFonts w:hint="eastAsia" w:ascii="宋体" w:hAnsi="宋体" w:cs="宋体"/>
                <w:color w:val="auto"/>
                <w:kern w:val="0"/>
                <w:sz w:val="24"/>
                <w:szCs w:val="24"/>
                <w:highlight w:val="none"/>
                <w:lang w:val="zh-CN"/>
              </w:rPr>
              <w:t>电话：</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highlight w:val="none"/>
              </w:rPr>
            </w:pPr>
            <w:bookmarkStart w:id="44" w:name="OLE_LINK50"/>
            <w:r>
              <w:rPr>
                <w:rFonts w:hint="eastAsia" w:ascii="宋体" w:hAnsi="宋体" w:cs="宋体"/>
                <w:color w:val="auto"/>
                <w:kern w:val="0"/>
                <w:sz w:val="24"/>
                <w:szCs w:val="24"/>
                <w:highlight w:val="none"/>
                <w:lang w:val="zh-CN"/>
              </w:rPr>
              <w:t>开户银行：</w:t>
            </w:r>
            <w:bookmarkEnd w:id="44"/>
          </w:p>
        </w:tc>
        <w:tc>
          <w:tcPr>
            <w:tcW w:w="4643" w:type="dxa"/>
            <w:noWrap w:val="0"/>
            <w:vAlign w:val="top"/>
          </w:tcPr>
          <w:p>
            <w:pPr>
              <w:widowControl/>
              <w:adjustRightInd w:val="0"/>
              <w:jc w:val="left"/>
              <w:rPr>
                <w:rFonts w:ascii="宋体" w:cs="宋体"/>
                <w:color w:val="auto"/>
                <w:kern w:val="0"/>
                <w:sz w:val="24"/>
                <w:szCs w:val="24"/>
                <w:highlight w:val="none"/>
              </w:rPr>
            </w:pPr>
            <w:r>
              <w:rPr>
                <w:rFonts w:hint="eastAsia" w:ascii="宋体" w:hAnsi="宋体" w:cs="宋体"/>
                <w:color w:val="auto"/>
                <w:kern w:val="0"/>
                <w:sz w:val="24"/>
                <w:szCs w:val="24"/>
                <w:highlight w:val="none"/>
                <w:lang w:val="zh-CN"/>
              </w:rPr>
              <w:t>开户银行：</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highlight w:val="none"/>
              </w:rPr>
            </w:pPr>
            <w:r>
              <w:rPr>
                <w:rFonts w:hint="eastAsia" w:ascii="宋体" w:hAnsi="宋体" w:cs="宋体"/>
                <w:color w:val="auto"/>
                <w:kern w:val="0"/>
                <w:sz w:val="24"/>
                <w:szCs w:val="24"/>
                <w:highlight w:val="none"/>
                <w:lang w:val="zh-CN"/>
              </w:rPr>
              <w:t>账号：</w:t>
            </w:r>
          </w:p>
        </w:tc>
        <w:tc>
          <w:tcPr>
            <w:tcW w:w="4643" w:type="dxa"/>
            <w:noWrap w:val="0"/>
            <w:vAlign w:val="top"/>
          </w:tcPr>
          <w:p>
            <w:pPr>
              <w:widowControl/>
              <w:adjustRightInd w:val="0"/>
              <w:jc w:val="left"/>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账号：</w:t>
            </w:r>
          </w:p>
          <w:p>
            <w:pPr>
              <w:widowControl/>
              <w:adjustRightInd w:val="0"/>
              <w:jc w:val="left"/>
              <w:rPr>
                <w:rFonts w:ascii="宋体" w:hAnsi="宋体" w:cs="宋体"/>
                <w:color w:val="auto"/>
                <w:kern w:val="0"/>
                <w:sz w:val="24"/>
                <w:szCs w:val="24"/>
                <w:highlight w:val="none"/>
                <w:lang w:val="zh-CN"/>
              </w:rPr>
            </w:pP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highlight w:val="none"/>
                <w:lang w:val="zh-CN"/>
              </w:rPr>
            </w:pPr>
            <w:r>
              <w:rPr>
                <w:rFonts w:hint="eastAsia" w:ascii="宋体" w:cs="宋体"/>
                <w:color w:val="auto"/>
                <w:kern w:val="0"/>
                <w:sz w:val="24"/>
                <w:szCs w:val="24"/>
                <w:highlight w:val="none"/>
                <w:lang w:val="zh-CN"/>
              </w:rPr>
              <w:t>住所：</w:t>
            </w:r>
          </w:p>
        </w:tc>
        <w:tc>
          <w:tcPr>
            <w:tcW w:w="4643" w:type="dxa"/>
            <w:noWrap w:val="0"/>
            <w:vAlign w:val="top"/>
          </w:tcPr>
          <w:p>
            <w:pPr>
              <w:widowControl/>
              <w:adjustRightInd w:val="0"/>
              <w:jc w:val="left"/>
              <w:rPr>
                <w:rFonts w:ascii="宋体" w:cs="宋体"/>
                <w:color w:val="auto"/>
                <w:kern w:val="0"/>
                <w:sz w:val="24"/>
                <w:szCs w:val="24"/>
                <w:highlight w:val="none"/>
                <w:lang w:val="zh-CN"/>
              </w:rPr>
            </w:pPr>
            <w:r>
              <w:rPr>
                <w:rFonts w:hint="eastAsia" w:ascii="宋体" w:cs="宋体"/>
                <w:color w:val="auto"/>
                <w:kern w:val="0"/>
                <w:sz w:val="24"/>
                <w:szCs w:val="24"/>
                <w:highlight w:val="none"/>
                <w:lang w:val="zh-CN"/>
              </w:rPr>
              <w:t>住所：</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hAnsi="宋体" w:cs="宋体"/>
                <w:color w:val="auto"/>
                <w:kern w:val="0"/>
                <w:sz w:val="24"/>
                <w:szCs w:val="24"/>
                <w:highlight w:val="none"/>
                <w:lang w:val="zh-CN"/>
              </w:rPr>
            </w:pPr>
            <w:r>
              <w:rPr>
                <w:rFonts w:hint="eastAsia" w:ascii="宋体" w:cs="宋体"/>
                <w:color w:val="auto"/>
                <w:kern w:val="0"/>
                <w:sz w:val="24"/>
                <w:szCs w:val="24"/>
                <w:highlight w:val="none"/>
                <w:lang w:val="zh-CN"/>
              </w:rPr>
              <w:t>日    期：     年    月    日</w:t>
            </w:r>
          </w:p>
        </w:tc>
        <w:tc>
          <w:tcPr>
            <w:tcW w:w="4643" w:type="dxa"/>
            <w:noWrap w:val="0"/>
            <w:vAlign w:val="top"/>
          </w:tcPr>
          <w:p>
            <w:pPr>
              <w:widowControl/>
              <w:adjustRightInd w:val="0"/>
              <w:jc w:val="left"/>
              <w:rPr>
                <w:rFonts w:ascii="宋体" w:hAnsi="宋体" w:cs="宋体"/>
                <w:color w:val="auto"/>
                <w:kern w:val="0"/>
                <w:sz w:val="24"/>
                <w:szCs w:val="24"/>
                <w:highlight w:val="none"/>
                <w:lang w:val="zh-CN"/>
              </w:rPr>
            </w:pPr>
            <w:r>
              <w:rPr>
                <w:rFonts w:hint="eastAsia" w:ascii="宋体" w:cs="宋体"/>
                <w:color w:val="auto"/>
                <w:kern w:val="0"/>
                <w:sz w:val="24"/>
                <w:szCs w:val="24"/>
                <w:highlight w:val="none"/>
                <w:lang w:val="zh-CN"/>
              </w:rPr>
              <w:t>日    期：     年    月    日</w:t>
            </w:r>
          </w:p>
        </w:tc>
      </w:tr>
    </w:tbl>
    <w:p>
      <w:pPr>
        <w:spacing w:line="360" w:lineRule="auto"/>
        <w:jc w:val="center"/>
        <w:outlineLvl w:val="0"/>
        <w:rPr>
          <w:rFonts w:hint="eastAsia" w:ascii="黑体" w:hAnsi="黑体" w:eastAsia="黑体"/>
          <w:color w:val="auto"/>
          <w:sz w:val="28"/>
          <w:highlight w:val="none"/>
        </w:rPr>
      </w:pPr>
    </w:p>
    <w:p>
      <w:pPr>
        <w:spacing w:line="360" w:lineRule="auto"/>
        <w:jc w:val="both"/>
        <w:outlineLvl w:val="0"/>
        <w:rPr>
          <w:rFonts w:hint="eastAsia" w:ascii="黑体" w:hAnsi="黑体" w:eastAsia="黑体"/>
          <w:color w:val="auto"/>
          <w:sz w:val="28"/>
          <w:highlight w:val="none"/>
        </w:rPr>
      </w:pPr>
    </w:p>
    <w:p>
      <w:pPr>
        <w:spacing w:line="360" w:lineRule="auto"/>
        <w:jc w:val="both"/>
        <w:outlineLvl w:val="0"/>
        <w:rPr>
          <w:rFonts w:hint="eastAsia" w:ascii="黑体" w:hAnsi="黑体" w:eastAsia="黑体"/>
          <w:color w:val="auto"/>
          <w:sz w:val="28"/>
          <w:highlight w:val="none"/>
        </w:rPr>
      </w:pPr>
    </w:p>
    <w:p>
      <w:pPr>
        <w:spacing w:line="360" w:lineRule="auto"/>
        <w:jc w:val="both"/>
        <w:outlineLvl w:val="0"/>
        <w:rPr>
          <w:rFonts w:hint="eastAsia" w:ascii="黑体" w:hAnsi="黑体" w:eastAsia="黑体"/>
          <w:color w:val="auto"/>
          <w:sz w:val="28"/>
          <w:highlight w:val="none"/>
        </w:rPr>
      </w:pPr>
    </w:p>
    <w:p>
      <w:pPr>
        <w:spacing w:line="360" w:lineRule="auto"/>
        <w:jc w:val="both"/>
        <w:outlineLvl w:val="0"/>
        <w:rPr>
          <w:rFonts w:hint="eastAsia" w:ascii="黑体" w:hAnsi="黑体" w:eastAsia="黑体"/>
          <w:color w:val="auto"/>
          <w:sz w:val="28"/>
          <w:highlight w:val="none"/>
        </w:rPr>
      </w:pPr>
    </w:p>
    <w:p>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六</w:t>
      </w:r>
      <w:r>
        <w:rPr>
          <w:rFonts w:hint="eastAsia" w:ascii="黑体" w:hAnsi="黑体" w:eastAsia="黑体"/>
          <w:color w:val="auto"/>
          <w:sz w:val="28"/>
          <w:highlight w:val="none"/>
        </w:rPr>
        <w:t>章 合同条款</w:t>
      </w:r>
      <w:bookmarkEnd w:id="40"/>
      <w:bookmarkEnd w:id="41"/>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根据项目编号：</w:t>
      </w:r>
      <w:r>
        <w:rPr>
          <w:rFonts w:hint="eastAsia" w:ascii="宋体" w:hAnsi="宋体"/>
          <w:bCs/>
          <w:color w:val="auto"/>
          <w:sz w:val="24"/>
          <w:szCs w:val="24"/>
          <w:highlight w:val="none"/>
        </w:rPr>
        <w:t xml:space="preserve"> </w:t>
      </w:r>
      <w:r>
        <w:rPr>
          <w:rFonts w:hint="eastAsia" w:ascii="宋体" w:hAnsi="宋体"/>
          <w:bCs/>
          <w:color w:val="auto"/>
          <w:sz w:val="24"/>
          <w:highlight w:val="none"/>
        </w:rPr>
        <w:t xml:space="preserve">招标文件和该项目的中标通知书及乙方投标文件，供需双方就此次中标的服务相关问题，同意按下列条款规定执行。      </w:t>
      </w:r>
    </w:p>
    <w:p>
      <w:pPr>
        <w:pStyle w:val="46"/>
        <w:spacing w:line="360" w:lineRule="auto"/>
        <w:ind w:firstLine="480"/>
        <w:rPr>
          <w:rFonts w:ascii="宋体" w:hAnsi="宋体"/>
          <w:bCs/>
          <w:color w:val="auto"/>
          <w:sz w:val="24"/>
          <w:highlight w:val="none"/>
        </w:rPr>
      </w:pPr>
      <w:r>
        <w:rPr>
          <w:rFonts w:hint="eastAsia" w:ascii="宋体" w:hAnsi="宋体"/>
          <w:bCs/>
          <w:color w:val="auto"/>
          <w:sz w:val="24"/>
          <w:highlight w:val="none"/>
        </w:rPr>
        <w:t>一、合同内容：本次招标货物为</w:t>
      </w:r>
      <w:r>
        <w:rPr>
          <w:rFonts w:hint="eastAsia" w:ascii="宋体" w:hAnsi="宋体"/>
          <w:color w:val="auto"/>
          <w:sz w:val="24"/>
          <w:szCs w:val="24"/>
          <w:highlight w:val="none"/>
          <w:u w:val="single"/>
        </w:rPr>
        <w:t xml:space="preserve">     </w:t>
      </w:r>
      <w:r>
        <w:rPr>
          <w:rFonts w:hint="eastAsia" w:ascii="宋体" w:hAnsi="宋体"/>
          <w:bCs/>
          <w:color w:val="auto"/>
          <w:sz w:val="24"/>
          <w:highlight w:val="none"/>
        </w:rPr>
        <w:t>。</w:t>
      </w:r>
    </w:p>
    <w:p>
      <w:pPr>
        <w:pStyle w:val="71"/>
        <w:spacing w:line="380" w:lineRule="exact"/>
        <w:ind w:right="170" w:firstLine="528" w:firstLineChars="200"/>
        <w:rPr>
          <w:rFonts w:ascii="宋体" w:hAnsi="MS Sans Serif"/>
          <w:color w:val="auto"/>
          <w:spacing w:val="12"/>
          <w:kern w:val="0"/>
          <w:sz w:val="24"/>
          <w:highlight w:val="none"/>
        </w:rPr>
      </w:pPr>
      <w:r>
        <w:rPr>
          <w:rFonts w:hint="eastAsia" w:ascii="宋体" w:hAnsi="MS Sans Serif"/>
          <w:color w:val="auto"/>
          <w:spacing w:val="12"/>
          <w:kern w:val="0"/>
          <w:sz w:val="24"/>
          <w:szCs w:val="20"/>
          <w:highlight w:val="none"/>
        </w:rPr>
        <w:t>二、供货</w:t>
      </w:r>
      <w:r>
        <w:rPr>
          <w:rFonts w:ascii="宋体" w:hAnsi="MS Sans Serif"/>
          <w:color w:val="auto"/>
          <w:spacing w:val="12"/>
          <w:kern w:val="0"/>
          <w:sz w:val="24"/>
          <w:szCs w:val="20"/>
          <w:highlight w:val="none"/>
        </w:rPr>
        <w:t>期</w:t>
      </w:r>
      <w:r>
        <w:rPr>
          <w:rFonts w:hint="eastAsia" w:ascii="宋体" w:hAnsi="MS Sans Serif"/>
          <w:color w:val="auto"/>
          <w:spacing w:val="12"/>
          <w:kern w:val="0"/>
          <w:sz w:val="24"/>
          <w:szCs w:val="20"/>
          <w:highlight w:val="none"/>
        </w:rPr>
        <w:t>：</w:t>
      </w:r>
      <w:r>
        <w:rPr>
          <w:rFonts w:hint="eastAsia" w:ascii="宋体" w:hAnsi="宋体" w:cs="宋体"/>
          <w:bCs/>
          <w:color w:val="auto"/>
          <w:sz w:val="24"/>
          <w:szCs w:val="24"/>
          <w:highlight w:val="none"/>
        </w:rPr>
        <w:t>合同签订之日起</w:t>
      </w:r>
      <w:r>
        <w:rPr>
          <w:rFonts w:hint="eastAsia" w:ascii="宋体" w:hAnsi="宋体" w:cs="宋体"/>
          <w:bCs/>
          <w:color w:val="auto"/>
          <w:sz w:val="24"/>
          <w:szCs w:val="24"/>
          <w:highlight w:val="none"/>
          <w:lang w:val="en-US" w:eastAsia="zh-CN"/>
        </w:rPr>
        <w:t>50天内完成供货。</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三、价格及支付</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1、此次中标价格执行，合同总标的额为人民币 (大写):</w:t>
      </w:r>
      <w:r>
        <w:rPr>
          <w:rFonts w:hint="eastAsia" w:ascii="宋体" w:hAnsi="宋体"/>
          <w:bCs/>
          <w:color w:val="auto"/>
          <w:sz w:val="24"/>
          <w:highlight w:val="none"/>
          <w:u w:val="single"/>
        </w:rPr>
        <w:t xml:space="preserve">     </w:t>
      </w:r>
      <w:r>
        <w:rPr>
          <w:rFonts w:hint="eastAsia" w:ascii="宋体" w:hAnsi="宋体"/>
          <w:bCs/>
          <w:color w:val="auto"/>
          <w:sz w:val="24"/>
          <w:highlight w:val="none"/>
        </w:rPr>
        <w:t>(小写￥</w:t>
      </w:r>
      <w:r>
        <w:rPr>
          <w:rFonts w:hint="eastAsia" w:ascii="宋体" w:hAnsi="宋体"/>
          <w:bCs/>
          <w:color w:val="auto"/>
          <w:sz w:val="24"/>
          <w:highlight w:val="none"/>
          <w:u w:val="single"/>
        </w:rPr>
        <w:t xml:space="preserve">   </w:t>
      </w:r>
      <w:r>
        <w:rPr>
          <w:rFonts w:hint="eastAsia" w:ascii="宋体" w:hAnsi="宋体"/>
          <w:bCs/>
          <w:color w:val="auto"/>
          <w:sz w:val="24"/>
          <w:highlight w:val="none"/>
        </w:rPr>
        <w:t>元)，以上为含税价。不含税价为￥</w:t>
      </w:r>
      <w:r>
        <w:rPr>
          <w:rFonts w:hint="eastAsia" w:ascii="宋体" w:hAnsi="宋体"/>
          <w:bCs/>
          <w:color w:val="auto"/>
          <w:sz w:val="24"/>
          <w:highlight w:val="none"/>
          <w:u w:val="single"/>
        </w:rPr>
        <w:t xml:space="preserve">    </w:t>
      </w:r>
      <w:r>
        <w:rPr>
          <w:rFonts w:hint="eastAsia" w:ascii="宋体" w:hAnsi="宋体"/>
          <w:bCs/>
          <w:color w:val="auto"/>
          <w:sz w:val="24"/>
          <w:highlight w:val="none"/>
        </w:rPr>
        <w:t>元，税金为￥</w:t>
      </w:r>
      <w:r>
        <w:rPr>
          <w:rFonts w:hint="eastAsia" w:ascii="宋体" w:hAnsi="宋体"/>
          <w:bCs/>
          <w:color w:val="auto"/>
          <w:sz w:val="24"/>
          <w:highlight w:val="none"/>
          <w:u w:val="single"/>
        </w:rPr>
        <w:t xml:space="preserve">     </w:t>
      </w:r>
      <w:r>
        <w:rPr>
          <w:rFonts w:hint="eastAsia" w:ascii="宋体" w:hAnsi="宋体"/>
          <w:bCs/>
          <w:color w:val="auto"/>
          <w:sz w:val="24"/>
          <w:highlight w:val="none"/>
        </w:rPr>
        <w:t>元，增值税税率为</w:t>
      </w:r>
      <w:r>
        <w:rPr>
          <w:rFonts w:hint="eastAsia" w:ascii="宋体" w:hAnsi="宋体"/>
          <w:bCs/>
          <w:color w:val="auto"/>
          <w:sz w:val="24"/>
          <w:highlight w:val="none"/>
          <w:u w:val="single"/>
        </w:rPr>
        <w:t xml:space="preserve">    </w:t>
      </w:r>
      <w:r>
        <w:rPr>
          <w:rFonts w:hint="eastAsia" w:ascii="宋体" w:hAnsi="宋体"/>
          <w:bCs/>
          <w:color w:val="auto"/>
          <w:sz w:val="24"/>
          <w:highlight w:val="none"/>
        </w:rPr>
        <w:t>%。</w:t>
      </w:r>
    </w:p>
    <w:p>
      <w:pPr>
        <w:pStyle w:val="71"/>
        <w:spacing w:line="380" w:lineRule="exact"/>
        <w:ind w:firstLine="490"/>
        <w:rPr>
          <w:rFonts w:hint="eastAsia" w:ascii="宋体" w:hAnsi="宋体" w:eastAsia="宋体"/>
          <w:color w:val="auto"/>
          <w:sz w:val="24"/>
          <w:highlight w:val="none"/>
          <w:lang w:eastAsia="zh-CN"/>
        </w:rPr>
      </w:pPr>
      <w:r>
        <w:rPr>
          <w:rFonts w:hint="eastAsia" w:ascii="宋体" w:hAnsi="宋体"/>
          <w:color w:val="auto"/>
          <w:sz w:val="24"/>
          <w:highlight w:val="none"/>
        </w:rPr>
        <w:t>2、投标总价</w:t>
      </w:r>
      <w:r>
        <w:rPr>
          <w:rFonts w:hint="eastAsia" w:ascii="ˎ̥" w:hAnsi="ˎ̥" w:cs="宋体"/>
          <w:color w:val="auto"/>
          <w:kern w:val="0"/>
          <w:sz w:val="24"/>
          <w:highlight w:val="none"/>
          <w:u w:val="single"/>
        </w:rPr>
        <w:t>报价应包含货物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单位认为需要的其他费用等</w:t>
      </w:r>
      <w:r>
        <w:rPr>
          <w:rFonts w:hint="eastAsia" w:ascii="ˎ̥" w:hAnsi="ˎ̥" w:cs="宋体"/>
          <w:color w:val="auto"/>
          <w:kern w:val="0"/>
          <w:sz w:val="24"/>
          <w:highlight w:val="none"/>
          <w:u w:val="single"/>
          <w:lang w:eastAsia="zh-CN"/>
        </w:rPr>
        <w:t>。</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3、付款步骤：到货验收合格开具所供货物的全额增值税专用发票后支付70%，三个月使用后无问题付20%，质保期到后付10%。</w:t>
      </w:r>
    </w:p>
    <w:p>
      <w:pPr>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4、付款方式：银行转账或现金支票。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rPr>
      </w:pPr>
      <w:r>
        <w:rPr>
          <w:rFonts w:hint="eastAsia" w:ascii="宋体" w:hAnsi="宋体"/>
          <w:bCs/>
          <w:color w:val="auto"/>
          <w:sz w:val="24"/>
          <w:highlight w:val="none"/>
        </w:rPr>
        <w:t>5、</w:t>
      </w:r>
      <w:r>
        <w:rPr>
          <w:rFonts w:hint="eastAsia" w:ascii="宋体" w:hAnsi="宋体"/>
          <w:color w:val="auto"/>
          <w:sz w:val="24"/>
          <w:szCs w:val="24"/>
          <w:highlight w:val="none"/>
        </w:rPr>
        <w:t>履约保证金的退还：</w:t>
      </w:r>
      <w:r>
        <w:rPr>
          <w:rFonts w:hint="eastAsia" w:ascii="宋体" w:hAnsi="宋体"/>
          <w:bCs/>
          <w:color w:val="auto"/>
          <w:sz w:val="24"/>
          <w:szCs w:val="24"/>
          <w:highlight w:val="none"/>
          <w:lang w:val="zh-CN"/>
        </w:rPr>
        <w:t>履约保证金</w:t>
      </w:r>
      <w:r>
        <w:rPr>
          <w:rFonts w:hint="eastAsia" w:asciiTheme="minorEastAsia" w:hAnsiTheme="minorEastAsia"/>
          <w:color w:val="auto"/>
          <w:sz w:val="24"/>
          <w:szCs w:val="24"/>
          <w:highlight w:val="none"/>
        </w:rPr>
        <w:t>在本项目验收合格后无息退还</w:t>
      </w:r>
      <w:r>
        <w:rPr>
          <w:rFonts w:hint="eastAsia" w:ascii="宋体" w:hAnsi="宋体"/>
          <w:color w:val="auto"/>
          <w:sz w:val="24"/>
          <w:szCs w:val="24"/>
          <w:highlight w:val="none"/>
        </w:rPr>
        <w:t>。注：若乙方履约保证金的形式为开具银行保函，需确保保函有效期覆盖合同期。若合同在执行过程中保函即将过期，乙方需提前一个月重新开具银行保函交至甲方，否则甲方将停付进度款。</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color w:val="auto"/>
          <w:highlight w:val="none"/>
          <w:lang w:val="en-US" w:eastAsia="zh-CN"/>
        </w:rPr>
      </w:pPr>
      <w:r>
        <w:rPr>
          <w:rFonts w:hint="eastAsia" w:ascii="宋体" w:hAnsi="宋体"/>
          <w:color w:val="auto"/>
          <w:sz w:val="24"/>
          <w:szCs w:val="24"/>
          <w:highlight w:val="none"/>
          <w:lang w:val="en-US" w:eastAsia="zh-CN"/>
        </w:rPr>
        <w:t>6、</w:t>
      </w:r>
      <w:r>
        <w:rPr>
          <w:rFonts w:hint="eastAsia" w:ascii="宋体" w:hAnsi="宋体"/>
          <w:color w:val="auto"/>
          <w:sz w:val="24"/>
          <w:highlight w:val="none"/>
        </w:rPr>
        <w:t>质保期：</w:t>
      </w:r>
      <w:r>
        <w:rPr>
          <w:rFonts w:hint="eastAsia" w:ascii="宋体" w:hAnsi="宋体"/>
          <w:color w:val="auto"/>
          <w:sz w:val="24"/>
          <w:highlight w:val="none"/>
          <w:lang w:val="en-US" w:eastAsia="zh-CN"/>
        </w:rPr>
        <w:t>本次招标的设备应提供不低于</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lang w:val="en-US" w:eastAsia="zh-CN"/>
        </w:rPr>
        <w:t>年的免费质保，免费质保期限一律从设备调试验收合格之日起算。</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四、知识产权</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五、质量保证</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3、甲方在签订合同后发现乙方存在弄虚作假等行为，甲方有权终止合同，并由乙方支付合同总金额10%的违约金，并在3年内不得参与甲方组织的招投标活动。</w:t>
      </w:r>
    </w:p>
    <w:p>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4、供货前和供货过程中，甲方将会视情况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在3年内不得参与甲方组织的招投标活动。</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六、交货和验收</w:t>
      </w:r>
    </w:p>
    <w:p>
      <w:pPr>
        <w:spacing w:line="360" w:lineRule="auto"/>
        <w:ind w:firstLine="480" w:firstLineChars="200"/>
        <w:rPr>
          <w:rFonts w:hint="eastAsia" w:ascii="宋体" w:hAnsi="宋体" w:cs="宋体"/>
          <w:bCs/>
          <w:color w:val="auto"/>
          <w:sz w:val="24"/>
          <w:szCs w:val="24"/>
          <w:highlight w:val="none"/>
          <w:lang w:val="en-US" w:eastAsia="zh-CN"/>
        </w:rPr>
      </w:pPr>
      <w:r>
        <w:rPr>
          <w:rFonts w:hint="eastAsia" w:ascii="宋体" w:hAnsi="宋体"/>
          <w:color w:val="auto"/>
          <w:kern w:val="0"/>
          <w:sz w:val="24"/>
          <w:szCs w:val="24"/>
          <w:highlight w:val="none"/>
        </w:rPr>
        <w:t>1、</w:t>
      </w:r>
      <w:r>
        <w:rPr>
          <w:rFonts w:hint="eastAsia" w:ascii="宋体" w:hAnsi="宋体" w:cs="宋体"/>
          <w:color w:val="auto"/>
          <w:sz w:val="24"/>
          <w:szCs w:val="24"/>
          <w:highlight w:val="none"/>
          <w:lang w:val="en-US" w:eastAsia="zh-CN"/>
        </w:rPr>
        <w:t>供货</w:t>
      </w:r>
      <w:r>
        <w:rPr>
          <w:rFonts w:hint="eastAsia" w:ascii="宋体" w:hAnsi="宋体" w:cs="宋体"/>
          <w:color w:val="auto"/>
          <w:sz w:val="24"/>
          <w:szCs w:val="24"/>
          <w:highlight w:val="none"/>
        </w:rPr>
        <w:t>期限：</w:t>
      </w:r>
      <w:r>
        <w:rPr>
          <w:rFonts w:hint="eastAsia" w:ascii="宋体" w:hAnsi="宋体" w:cs="宋体"/>
          <w:bCs/>
          <w:color w:val="auto"/>
          <w:sz w:val="24"/>
          <w:szCs w:val="24"/>
          <w:highlight w:val="none"/>
        </w:rPr>
        <w:t>合同签订之日起</w:t>
      </w:r>
      <w:r>
        <w:rPr>
          <w:rFonts w:hint="eastAsia" w:ascii="宋体" w:hAnsi="宋体" w:cs="宋体"/>
          <w:bCs/>
          <w:color w:val="auto"/>
          <w:sz w:val="24"/>
          <w:szCs w:val="24"/>
          <w:highlight w:val="none"/>
          <w:lang w:val="en-US" w:eastAsia="zh-CN"/>
        </w:rPr>
        <w:t>60天内完成供货。</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2、运输及到货地点：由乙方负责办理运输，并承担费用直接送到甲方指定地点，到货后的卸货力资、机械租赁等费用由甲方负责。</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4、货到甲方指定地址后，由于甲方保管不善造成的质量问题，乙方应负责修理，但有关费用甲方承担。</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5、货物的到货验收包括：数量、外观、质量、性能、随机材料及配件、装箱单、质量检验合格证书、原厂保修卡、用户手册等随机资料及包装完整无破损，若发现任何损坏及质量问题，乙方应负责更换设备零件，并妥善处理直至采购人满意。此工作所发生费用由乙方自行承担。</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七、安装调试及售后服务：</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1、乙方负责本次材料设备的指导安装，并照国家有关法律法规规章和“三包”规定以及按招标文件要求和乙方响应文件中的承诺提供服务。</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4、甲方应向乙方现场调试技术人员及维修人员提供方便条件，有关费用由乙方负责。</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5、甲方如邀请乙方提供非质量问题的其它技术服务，其费用另定。</w:t>
      </w:r>
    </w:p>
    <w:p>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6、保修期后的货物维护由双方协商再定。</w:t>
      </w:r>
    </w:p>
    <w:p>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①在免费质保期内，乙方提供免除一切费用的售后服务。</w:t>
      </w:r>
      <w:r>
        <w:rPr>
          <w:rFonts w:hint="eastAsia" w:ascii="宋体" w:hAnsi="宋体"/>
          <w:color w:val="auto"/>
          <w:kern w:val="0"/>
          <w:sz w:val="24"/>
          <w:szCs w:val="24"/>
          <w:highlight w:val="none"/>
        </w:rPr>
        <w:br w:type="textWrapping"/>
      </w:r>
      <w:r>
        <w:rPr>
          <w:rFonts w:hint="eastAsia" w:ascii="宋体" w:hAnsi="宋体"/>
          <w:color w:val="auto"/>
          <w:kern w:val="0"/>
          <w:sz w:val="24"/>
          <w:szCs w:val="24"/>
          <w:highlight w:val="none"/>
        </w:rPr>
        <w:tab/>
      </w:r>
      <w:r>
        <w:rPr>
          <w:rFonts w:hint="eastAsia" w:ascii="宋体" w:hAnsi="宋体"/>
          <w:color w:val="auto"/>
          <w:kern w:val="0"/>
          <w:sz w:val="24"/>
          <w:szCs w:val="24"/>
          <w:highlight w:val="none"/>
        </w:rPr>
        <w:t>②对于在免费质保期内出现故障确需更换的零配件，乙方必须确保甲方能更换到原厂同种规格型号的零部件，以确保其正常使用；如因生产厂家停产等客观原因，不能提供同种规格型号的零配件时，应提供同等质量、档次的配件，且不补差价。</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八、违约责任：</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1、如乙方逾期交货，除不可抗力外，乙方应向甲方就逾期交货部分支付违约金，具体支付比例如下：</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迟交1～3天，每天违约金金额为逾期交货部分总价款的千分之三；</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迟交4～7天，每天违约金金额为逾期交货部分总价款的千分之五；</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 xml:space="preserve">迟交8～15天，每天违约金金额为逾期交货部分总价款的千分之八，如因此严重延误施工工期的，则视为乙方不履行合同。 </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乙方逾期交货超过15天以上的视为乙方不履行合同。甲方将解除合同，扣除违约金及履约保证金，违约金金额为每天逾期交货部分总价款的千分之八，天数从下单日起到甲方完成下一次招标流程止。并在3年内不得参与甲方组织的招投标活动。</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如乙方不按照甲方要求将合同货物送达甲方指定地点的，每次支付违约金为逾期交货部分总价款的千分之八。情节严重的，按违约处理。</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4、如遭遇不可抗力事件，遭遇不可抗力的一方应尽快以书面形式将不可抗力的情况和原因通知另一方，并积极采取措施防止损失扩大。因不可抗力造成的损失，甲、乙双方按照法律规定处理。</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九、争议的解决</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2、因履行本合同引起的或与本合同有关的争议，先由甲方所属预算级次的本级财政部门协调解决，如协调解决不成，则可向甲方所在地（宜兴）法院起诉。</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十、合同生效及其它</w:t>
      </w:r>
    </w:p>
    <w:p>
      <w:pPr>
        <w:spacing w:line="360" w:lineRule="auto"/>
        <w:ind w:left="0" w:leftChars="0" w:firstLine="420" w:firstLineChars="175"/>
        <w:rPr>
          <w:rFonts w:ascii="宋体" w:hAnsi="宋体"/>
          <w:bCs/>
          <w:color w:val="auto"/>
          <w:sz w:val="24"/>
          <w:highlight w:val="none"/>
          <w:lang w:val="zh-CN"/>
        </w:rPr>
      </w:pPr>
      <w:r>
        <w:rPr>
          <w:rFonts w:hint="eastAsia" w:ascii="宋体" w:hAnsi="宋体"/>
          <w:bCs/>
          <w:color w:val="auto"/>
          <w:sz w:val="24"/>
          <w:highlight w:val="none"/>
          <w:lang w:val="zh-CN"/>
        </w:rPr>
        <w:t>1、</w:t>
      </w:r>
      <w:r>
        <w:rPr>
          <w:rFonts w:hint="eastAsia" w:ascii="宋体" w:hAnsi="宋体"/>
          <w:color w:val="auto"/>
          <w:sz w:val="24"/>
          <w:highlight w:val="none"/>
        </w:rPr>
        <w:t>乙方不履行合同或履行合同不符合约定的，甲方有权随时解除合同，并扣除相应的违约金，质保金</w:t>
      </w:r>
      <w:r>
        <w:rPr>
          <w:rFonts w:ascii="宋体" w:hAnsi="宋体"/>
          <w:bCs/>
          <w:color w:val="auto"/>
          <w:sz w:val="24"/>
          <w:szCs w:val="24"/>
          <w:highlight w:val="none"/>
        </w:rPr>
        <w:t>及履约保证金</w:t>
      </w:r>
      <w:r>
        <w:rPr>
          <w:rFonts w:hint="eastAsia" w:ascii="宋体" w:hAnsi="宋体"/>
          <w:color w:val="auto"/>
          <w:sz w:val="24"/>
          <w:highlight w:val="none"/>
        </w:rPr>
        <w:t>。如果甲方因此造成的实际损失超过约定的违约金，质保金</w:t>
      </w:r>
      <w:r>
        <w:rPr>
          <w:rFonts w:ascii="宋体" w:hAnsi="宋体"/>
          <w:bCs/>
          <w:color w:val="auto"/>
          <w:sz w:val="24"/>
          <w:szCs w:val="24"/>
          <w:highlight w:val="none"/>
        </w:rPr>
        <w:t>及履约保证金</w:t>
      </w:r>
      <w:r>
        <w:rPr>
          <w:rFonts w:hint="eastAsia" w:ascii="宋体" w:hAnsi="宋体"/>
          <w:color w:val="auto"/>
          <w:sz w:val="24"/>
          <w:highlight w:val="none"/>
        </w:rPr>
        <w:t>，则乙方的赔偿额应以甲方的实际损失为准。</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、合同经甲乙双方代表签字并加盖公章（或合同章）后即生效。</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、合同签订后甲乙双方即直接产生权利与义务的关系，合同执行过程中出现的问题应按照《民法典》的规定办理。</w:t>
      </w:r>
    </w:p>
    <w:p>
      <w:pPr>
        <w:spacing w:line="360" w:lineRule="auto"/>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jc w:val="both"/>
        <w:outlineLvl w:val="0"/>
        <w:rPr>
          <w:rFonts w:hint="eastAsia" w:ascii="宋体" w:hAnsi="宋体" w:cs="宋体"/>
          <w:color w:val="auto"/>
          <w:sz w:val="24"/>
          <w:highlight w:val="none"/>
        </w:rPr>
      </w:pP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、本合同应按照中华人民共和国的现行法律进行解释。</w:t>
      </w: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ascii="黑体" w:hAnsi="黑体" w:eastAsia="黑体"/>
          <w:color w:val="auto"/>
          <w:sz w:val="28"/>
          <w:highlight w:val="none"/>
        </w:rPr>
      </w:pPr>
      <w:r>
        <w:rPr>
          <w:rFonts w:hint="eastAsia" w:ascii="黑体" w:hAnsi="黑体" w:eastAsia="黑体"/>
          <w:color w:val="auto"/>
          <w:sz w:val="28"/>
          <w:highlight w:val="none"/>
        </w:rPr>
        <w:t>第七章 投标文件（格式）</w:t>
      </w:r>
      <w:bookmarkEnd w:id="39"/>
    </w:p>
    <w:p>
      <w:pPr>
        <w:spacing w:line="360" w:lineRule="auto"/>
        <w:jc w:val="center"/>
        <w:outlineLvl w:val="0"/>
        <w:rPr>
          <w:rFonts w:ascii="黑体" w:hAnsi="黑体" w:eastAsia="黑体"/>
          <w:color w:val="auto"/>
          <w:sz w:val="28"/>
          <w:highlight w:val="none"/>
        </w:rPr>
      </w:pPr>
    </w:p>
    <w:p>
      <w:pPr>
        <w:spacing w:line="360" w:lineRule="auto"/>
        <w:jc w:val="center"/>
        <w:outlineLvl w:val="0"/>
        <w:rPr>
          <w:rFonts w:ascii="黑体" w:hAnsi="黑体" w:eastAsia="黑体"/>
          <w:color w:val="auto"/>
          <w:sz w:val="28"/>
          <w:highlight w:val="none"/>
        </w:rPr>
      </w:pPr>
    </w:p>
    <w:p>
      <w:pPr>
        <w:rPr>
          <w:rFonts w:ascii="黑体" w:eastAsia="黑体"/>
          <w:b/>
          <w:color w:val="auto"/>
          <w:sz w:val="120"/>
          <w:szCs w:val="120"/>
          <w:highlight w:val="none"/>
        </w:rPr>
      </w:pPr>
    </w:p>
    <w:p>
      <w:pPr>
        <w:jc w:val="center"/>
        <w:rPr>
          <w:rFonts w:ascii="宋体" w:hAnsi="宋体"/>
          <w:b/>
          <w:color w:val="auto"/>
          <w:sz w:val="120"/>
          <w:szCs w:val="120"/>
          <w:highlight w:val="none"/>
        </w:rPr>
      </w:pPr>
      <w:bookmarkStart w:id="45" w:name="_Toc29240"/>
      <w:r>
        <w:rPr>
          <w:rFonts w:hint="eastAsia" w:ascii="宋体" w:hAnsi="宋体"/>
          <w:b/>
          <w:color w:val="auto"/>
          <w:sz w:val="120"/>
          <w:szCs w:val="120"/>
          <w:highlight w:val="none"/>
        </w:rPr>
        <w:t>投标文件</w:t>
      </w:r>
      <w:bookmarkEnd w:id="45"/>
    </w:p>
    <w:p>
      <w:pPr>
        <w:jc w:val="center"/>
        <w:rPr>
          <w:rFonts w:ascii="宋体" w:hAnsi="宋体"/>
          <w:b/>
          <w:color w:val="auto"/>
          <w:sz w:val="32"/>
          <w:szCs w:val="32"/>
          <w:highlight w:val="none"/>
        </w:rPr>
      </w:pPr>
      <w:bookmarkStart w:id="46" w:name="_Toc2400"/>
      <w:r>
        <w:rPr>
          <w:rFonts w:hint="eastAsia" w:ascii="宋体" w:hAnsi="宋体"/>
          <w:b/>
          <w:color w:val="auto"/>
          <w:sz w:val="32"/>
          <w:szCs w:val="32"/>
          <w:highlight w:val="none"/>
        </w:rPr>
        <w:t>项目编号：</w:t>
      </w:r>
      <w:bookmarkEnd w:id="46"/>
      <w:r>
        <w:rPr>
          <w:rFonts w:hint="eastAsia" w:ascii="宋体" w:hAnsi="宋体"/>
          <w:color w:val="auto"/>
          <w:sz w:val="32"/>
          <w:highlight w:val="none"/>
          <w:lang w:eastAsia="zh-CN"/>
        </w:rPr>
        <w:t>YXGQ2025236</w:t>
      </w:r>
      <w:r>
        <w:rPr>
          <w:rFonts w:hint="eastAsia" w:ascii="宋体" w:hAnsi="宋体"/>
          <w:color w:val="auto"/>
          <w:sz w:val="32"/>
          <w:highlight w:val="none"/>
        </w:rPr>
        <w:t xml:space="preserve">  </w:t>
      </w:r>
    </w:p>
    <w:p>
      <w:pPr>
        <w:jc w:val="center"/>
        <w:rPr>
          <w:rFonts w:ascii="宋体" w:hAnsi="宋体"/>
          <w:b/>
          <w:color w:val="auto"/>
          <w:sz w:val="32"/>
          <w:szCs w:val="32"/>
          <w:highlight w:val="none"/>
        </w:rPr>
      </w:pPr>
    </w:p>
    <w:p>
      <w:pPr>
        <w:rPr>
          <w:rFonts w:ascii="宋体" w:hAnsi="宋体"/>
          <w:b/>
          <w:color w:val="auto"/>
          <w:sz w:val="32"/>
          <w:szCs w:val="32"/>
          <w:highlight w:val="none"/>
        </w:rPr>
      </w:pPr>
    </w:p>
    <w:p>
      <w:pPr>
        <w:rPr>
          <w:rFonts w:ascii="宋体" w:hAnsi="宋体"/>
          <w:b/>
          <w:color w:val="auto"/>
          <w:sz w:val="32"/>
          <w:szCs w:val="32"/>
          <w:highlight w:val="none"/>
        </w:rPr>
      </w:pPr>
    </w:p>
    <w:p>
      <w:pPr>
        <w:rPr>
          <w:rFonts w:hint="eastAsia" w:ascii="宋体" w:hAnsi="宋体" w:eastAsiaTheme="minorEastAsia"/>
          <w:b/>
          <w:bCs/>
          <w:color w:val="auto"/>
          <w:sz w:val="52"/>
          <w:highlight w:val="none"/>
          <w:u w:val="single"/>
          <w:lang w:eastAsia="zh-CN"/>
        </w:rPr>
      </w:pPr>
      <w:bookmarkStart w:id="47" w:name="_Toc10010"/>
      <w:r>
        <w:rPr>
          <w:rFonts w:hint="eastAsia" w:ascii="宋体" w:hAnsi="宋体"/>
          <w:b/>
          <w:color w:val="auto"/>
          <w:sz w:val="32"/>
          <w:szCs w:val="32"/>
          <w:highlight w:val="none"/>
        </w:rPr>
        <w:t>项目名称：</w:t>
      </w:r>
      <w:bookmarkEnd w:id="47"/>
      <w:r>
        <w:rPr>
          <w:rFonts w:hint="eastAsia" w:ascii="宋体" w:hAnsi="宋体" w:eastAsia="宋体" w:cs="Times New Roman"/>
          <w:b/>
          <w:color w:val="auto"/>
          <w:sz w:val="32"/>
          <w:szCs w:val="32"/>
          <w:highlight w:val="none"/>
          <w:u w:val="single"/>
          <w:lang w:eastAsia="zh-CN"/>
        </w:rPr>
        <w:t>液压动力站采购项目</w:t>
      </w:r>
    </w:p>
    <w:p>
      <w:pPr>
        <w:rPr>
          <w:rFonts w:ascii="宋体" w:hAnsi="宋体"/>
          <w:b/>
          <w:color w:val="auto"/>
          <w:sz w:val="32"/>
          <w:szCs w:val="32"/>
          <w:highlight w:val="none"/>
        </w:rPr>
      </w:pPr>
      <w:bookmarkStart w:id="48" w:name="_Toc8670"/>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bookmarkEnd w:id="48"/>
    </w:p>
    <w:p>
      <w:pPr>
        <w:rPr>
          <w:rFonts w:ascii="宋体" w:hAnsi="宋体"/>
          <w:color w:val="auto"/>
          <w:highlight w:val="none"/>
        </w:rPr>
      </w:pPr>
      <w:bookmarkStart w:id="49" w:name="_Toc24371"/>
      <w:r>
        <w:rPr>
          <w:rFonts w:hint="eastAsia" w:ascii="宋体" w:hAnsi="宋体"/>
          <w:b/>
          <w:color w:val="auto"/>
          <w:sz w:val="32"/>
          <w:szCs w:val="32"/>
          <w:highlight w:val="none"/>
        </w:rPr>
        <w:t>法定代表人或其被授权代表：</w:t>
      </w:r>
      <w:r>
        <w:rPr>
          <w:rFonts w:hint="eastAsia" w:ascii="宋体" w:hAnsi="宋体"/>
          <w:b/>
          <w:color w:val="auto"/>
          <w:sz w:val="32"/>
          <w:szCs w:val="32"/>
          <w:highlight w:val="none"/>
          <w:u w:val="single"/>
        </w:rPr>
        <w:t xml:space="preserve">                 （签名）</w:t>
      </w:r>
      <w:bookmarkEnd w:id="49"/>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jc w:val="center"/>
        <w:rPr>
          <w:rFonts w:ascii="宋体" w:hAnsi="宋体"/>
          <w:b/>
          <w:color w:val="auto"/>
          <w:sz w:val="32"/>
          <w:szCs w:val="32"/>
          <w:highlight w:val="none"/>
        </w:rPr>
      </w:pPr>
      <w:bookmarkStart w:id="50" w:name="_Toc1179"/>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bookmarkEnd w:id="50"/>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rPr>
          <w:rFonts w:ascii="宋体"/>
          <w:b/>
          <w:bCs/>
          <w:color w:val="auto"/>
          <w:sz w:val="24"/>
          <w:szCs w:val="24"/>
          <w:highlight w:val="none"/>
        </w:rPr>
      </w:pPr>
      <w:bookmarkStart w:id="51" w:name="_Toc24602"/>
      <w:r>
        <w:rPr>
          <w:rFonts w:hint="eastAsia" w:ascii="黑体" w:hAnsi="宋体" w:eastAsia="黑体"/>
          <w:bCs/>
          <w:color w:val="auto"/>
          <w:sz w:val="24"/>
          <w:szCs w:val="24"/>
          <w:highlight w:val="none"/>
        </w:rPr>
        <w:br w:type="page"/>
      </w:r>
      <w:bookmarkStart w:id="52" w:name="OLE_LINK24"/>
      <w:r>
        <w:rPr>
          <w:rFonts w:hint="eastAsia" w:ascii="黑体" w:hAnsi="宋体" w:eastAsia="黑体"/>
          <w:bCs/>
          <w:color w:val="auto"/>
          <w:sz w:val="28"/>
          <w:szCs w:val="28"/>
          <w:highlight w:val="none"/>
        </w:rPr>
        <w:t>（一）投标函（格式）：</w:t>
      </w:r>
    </w:p>
    <w:bookmarkEnd w:id="52"/>
    <w:p>
      <w:pPr>
        <w:spacing w:beforeLines="50" w:afterLines="50" w:line="360" w:lineRule="auto"/>
        <w:jc w:val="center"/>
        <w:rPr>
          <w:rFonts w:ascii="黑体" w:eastAsia="黑体"/>
          <w:bCs/>
          <w:color w:val="auto"/>
          <w:sz w:val="28"/>
          <w:szCs w:val="28"/>
          <w:highlight w:val="none"/>
        </w:rPr>
      </w:pPr>
      <w:r>
        <w:rPr>
          <w:rFonts w:hint="eastAsia" w:ascii="黑体" w:eastAsia="黑体"/>
          <w:bCs/>
          <w:color w:val="auto"/>
          <w:sz w:val="28"/>
          <w:szCs w:val="28"/>
          <w:highlight w:val="none"/>
        </w:rPr>
        <w:t>投标函</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致宜兴市排水有限公司、江苏恒鸿建设咨询有限公司：</w:t>
      </w:r>
    </w:p>
    <w:p>
      <w:p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我方收到你们YXGQ2025236招标文件，经仔细阅读和研究，我方决定参加投标。</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我方愿意按照招标文件的一切要求，提供投标设备，投标总价详见《开标一览表》。</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我方已对照招标设备的技术参数要求，填写了投标设备的技术参数要求，详见《偏离表》。</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我方承诺本次采购项目清单中，若涉及到强制采购节能产品或信息安全产品的，将按照招标文件及法律法规要求提供相关产品。</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我方同意按招标文件中的规定，本投标文件的有效期为投标截止之日起的60天（含提交当日）。在特殊情况下，可与贵方协商延长投标文件的有效期。</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如果我方的投标文件被接受，我方将履行招投标文件中规定的每一项要求，按期、按质、按量、按地点，完成交货任务。</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我方愿意根据贵方及评标委员会的要求，提供投标文件中所有材料的原件及相关证明性资料。</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我方愿意按《中华人民共和国民法典》和合同条款履行自己的全部责任。</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szCs w:val="24"/>
          <w:highlight w:val="none"/>
        </w:rPr>
        <w:t>我方决不提供虚假材料谋取中标，决不采取不正当手段诋毁、排挤其他投标人，决不与采购人、其它投标人或者</w:t>
      </w:r>
      <w:r>
        <w:rPr>
          <w:rFonts w:hint="eastAsia" w:ascii="宋体" w:hAnsi="宋体"/>
          <w:bCs/>
          <w:color w:val="auto"/>
          <w:sz w:val="24"/>
          <w:szCs w:val="24"/>
          <w:highlight w:val="none"/>
          <w:lang w:eastAsia="zh-CN"/>
        </w:rPr>
        <w:t>采购代理机构</w:t>
      </w:r>
      <w:r>
        <w:rPr>
          <w:rFonts w:hint="eastAsia" w:ascii="宋体" w:hAnsi="宋体"/>
          <w:bCs/>
          <w:color w:val="auto"/>
          <w:sz w:val="24"/>
          <w:szCs w:val="24"/>
          <w:highlight w:val="none"/>
        </w:rPr>
        <w:t>恶意串通，决不向采购人、</w:t>
      </w:r>
      <w:r>
        <w:rPr>
          <w:rFonts w:hint="eastAsia" w:ascii="宋体" w:hAnsi="宋体"/>
          <w:bCs/>
          <w:color w:val="auto"/>
          <w:sz w:val="24"/>
          <w:szCs w:val="24"/>
          <w:highlight w:val="none"/>
          <w:lang w:eastAsia="zh-CN"/>
        </w:rPr>
        <w:t>采购代理机构</w:t>
      </w:r>
      <w:r>
        <w:rPr>
          <w:rFonts w:hint="eastAsia" w:ascii="宋体" w:hAnsi="宋体"/>
          <w:bCs/>
          <w:color w:val="auto"/>
          <w:sz w:val="24"/>
          <w:szCs w:val="24"/>
          <w:highlight w:val="none"/>
        </w:rPr>
        <w:t>工作人员和评委进行商业贿赂，决不在采购过程中与采购人进行协商谈判，决不拒绝有关部门监督检查，如有违反，无条件接受相关管理部门的处罚。</w:t>
      </w:r>
    </w:p>
    <w:p>
      <w:pPr>
        <w:numPr>
          <w:ilvl w:val="0"/>
          <w:numId w:val="15"/>
        </w:numPr>
        <w:spacing w:line="360" w:lineRule="auto"/>
        <w:ind w:firstLine="480" w:firstLineChars="200"/>
        <w:rPr>
          <w:rFonts w:ascii="宋体" w:hAnsi="宋体"/>
          <w:bCs/>
          <w:color w:val="auto"/>
          <w:sz w:val="24"/>
          <w:highlight w:val="none"/>
          <w:lang w:val="zh-CN"/>
        </w:rPr>
      </w:pPr>
      <w:bookmarkStart w:id="53" w:name="OLE_LINK231"/>
      <w:r>
        <w:rPr>
          <w:rFonts w:hint="eastAsia" w:ascii="宋体" w:hAnsi="宋体"/>
          <w:bCs/>
          <w:color w:val="auto"/>
          <w:sz w:val="24"/>
          <w:szCs w:val="24"/>
          <w:highlight w:val="none"/>
        </w:rPr>
        <w:t>我方不是为本项目</w:t>
      </w:r>
      <w:r>
        <w:rPr>
          <w:rFonts w:ascii="宋体" w:hAnsi="宋体"/>
          <w:bCs/>
          <w:color w:val="auto"/>
          <w:sz w:val="24"/>
          <w:szCs w:val="24"/>
          <w:highlight w:val="none"/>
        </w:rPr>
        <w:t>提供整体设计、规范编制或者项目管理、监理、检测等服务的供应商</w:t>
      </w:r>
      <w:r>
        <w:rPr>
          <w:rFonts w:hint="eastAsia" w:ascii="宋体" w:hAnsi="宋体"/>
          <w:bCs/>
          <w:color w:val="auto"/>
          <w:sz w:val="24"/>
          <w:szCs w:val="24"/>
          <w:highlight w:val="none"/>
        </w:rPr>
        <w:t>。</w:t>
      </w:r>
      <w:bookmarkEnd w:id="53"/>
    </w:p>
    <w:p>
      <w:pPr>
        <w:numPr>
          <w:ilvl w:val="0"/>
          <w:numId w:val="15"/>
        </w:numPr>
        <w:spacing w:line="360" w:lineRule="auto"/>
        <w:ind w:firstLine="480" w:firstLineChars="200"/>
        <w:rPr>
          <w:rFonts w:ascii="宋体" w:hAnsi="宋体"/>
          <w:bCs/>
          <w:color w:val="auto"/>
          <w:sz w:val="24"/>
          <w:highlight w:val="none"/>
          <w:lang w:val="zh-CN"/>
        </w:rPr>
      </w:pPr>
      <w:bookmarkStart w:id="54" w:name="OLE_LINK233"/>
      <w:r>
        <w:rPr>
          <w:rFonts w:hint="eastAsia" w:ascii="宋体" w:hAnsi="宋体"/>
          <w:bCs/>
          <w:color w:val="auto"/>
          <w:sz w:val="24"/>
          <w:szCs w:val="24"/>
          <w:highlight w:val="none"/>
        </w:rPr>
        <w:t>关联单位情况说明：</w:t>
      </w:r>
    </w:p>
    <w:tbl>
      <w:tblPr>
        <w:tblStyle w:val="30"/>
        <w:tblW w:w="93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4707" w:type="dxa"/>
            <w:vAlign w:val="center"/>
          </w:tcPr>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vAlign w:val="center"/>
          </w:tcPr>
          <w:p>
            <w:pPr>
              <w:spacing w:line="360" w:lineRule="auto"/>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4707" w:type="dxa"/>
            <w:vAlign w:val="center"/>
          </w:tcPr>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vAlign w:val="center"/>
          </w:tcPr>
          <w:p>
            <w:pPr>
              <w:spacing w:line="360" w:lineRule="auto"/>
              <w:rPr>
                <w:rFonts w:ascii="宋体" w:hAnsi="宋体"/>
                <w:bCs/>
                <w:color w:val="auto"/>
                <w:sz w:val="24"/>
                <w:highlight w:val="none"/>
                <w:lang w:val="zh-CN"/>
              </w:rPr>
            </w:pPr>
          </w:p>
        </w:tc>
      </w:tr>
    </w:tbl>
    <w:p>
      <w:pPr>
        <w:spacing w:line="360" w:lineRule="auto"/>
        <w:ind w:left="480"/>
        <w:rPr>
          <w:rFonts w:ascii="宋体" w:hAnsi="宋体"/>
          <w:bCs/>
          <w:color w:val="auto"/>
          <w:sz w:val="24"/>
          <w:highlight w:val="none"/>
          <w:lang w:val="zh-CN"/>
        </w:rPr>
      </w:pPr>
      <w:r>
        <w:rPr>
          <w:rFonts w:hint="eastAsia" w:ascii="宋体" w:hAnsi="宋体"/>
          <w:bCs/>
          <w:color w:val="auto"/>
          <w:sz w:val="24"/>
          <w:highlight w:val="none"/>
          <w:lang w:val="zh-CN"/>
        </w:rPr>
        <w:t>注：没有请填无。</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与本投标有关的一切正式往来函电，请联系：</w:t>
      </w:r>
    </w:p>
    <w:tbl>
      <w:tblPr>
        <w:tblStyle w:val="30"/>
        <w:tblW w:w="93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823"/>
        <w:gridCol w:w="1252"/>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bookmarkStart w:id="55" w:name="OLE_LINK249"/>
            <w:r>
              <w:rPr>
                <w:rFonts w:hint="eastAsia" w:ascii="宋体" w:hAnsi="宋体"/>
                <w:bCs/>
                <w:color w:val="auto"/>
                <w:sz w:val="24"/>
                <w:highlight w:val="none"/>
                <w:lang w:val="zh-CN"/>
              </w:rPr>
              <w:t>地址</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传真</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eastAsia="宋体"/>
                <w:bCs/>
                <w:color w:val="auto"/>
                <w:sz w:val="24"/>
                <w:highlight w:val="none"/>
              </w:rPr>
            </w:pPr>
            <w:r>
              <w:rPr>
                <w:rFonts w:hint="eastAsia" w:ascii="宋体" w:hAnsi="宋体"/>
                <w:bCs/>
                <w:color w:val="auto"/>
                <w:sz w:val="24"/>
                <w:highlight w:val="none"/>
              </w:rPr>
              <w:t>法定代表人</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联系人</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开户名称</w:t>
            </w:r>
          </w:p>
        </w:tc>
        <w:tc>
          <w:tcPr>
            <w:tcW w:w="7750" w:type="dxa"/>
            <w:gridSpan w:val="3"/>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开户银行</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vAlign w:val="center"/>
          </w:tcPr>
          <w:p>
            <w:pPr>
              <w:spacing w:line="360" w:lineRule="auto"/>
              <w:jc w:val="center"/>
              <w:rPr>
                <w:rFonts w:ascii="宋体" w:hAnsi="宋体"/>
                <w:bCs/>
                <w:color w:val="auto"/>
                <w:sz w:val="24"/>
                <w:highlight w:val="none"/>
                <w:lang w:val="zh-CN"/>
              </w:rPr>
            </w:pPr>
          </w:p>
        </w:tc>
      </w:tr>
      <w:bookmarkEnd w:id="54"/>
      <w:bookmarkEnd w:id="55"/>
    </w:tbl>
    <w:p>
      <w:pPr>
        <w:spacing w:line="360" w:lineRule="auto"/>
        <w:ind w:left="5460" w:hanging="5460" w:hangingChars="2275"/>
        <w:jc w:val="center"/>
        <w:rPr>
          <w:rFonts w:ascii="宋体" w:hAnsi="宋体"/>
          <w:bCs/>
          <w:color w:val="auto"/>
          <w:sz w:val="24"/>
          <w:highlight w:val="none"/>
          <w:lang w:val="zh-CN"/>
        </w:rPr>
      </w:pPr>
      <w:r>
        <w:rPr>
          <w:rFonts w:hint="eastAsia" w:ascii="宋体" w:hAnsi="宋体"/>
          <w:bCs/>
          <w:color w:val="auto"/>
          <w:sz w:val="24"/>
          <w:highlight w:val="none"/>
          <w:lang w:val="zh-CN"/>
        </w:rPr>
        <w:t>投标人（</w:t>
      </w:r>
      <w:r>
        <w:rPr>
          <w:rFonts w:hint="eastAsia" w:ascii="宋体" w:hAnsi="宋体"/>
          <w:bCs/>
          <w:color w:val="auto"/>
          <w:sz w:val="24"/>
          <w:highlight w:val="none"/>
        </w:rPr>
        <w:t>公</w:t>
      </w:r>
      <w:r>
        <w:rPr>
          <w:rFonts w:hint="eastAsia" w:ascii="宋体" w:hAnsi="宋体"/>
          <w:bCs/>
          <w:color w:val="auto"/>
          <w:sz w:val="24"/>
          <w:highlight w:val="none"/>
          <w:lang w:val="zh-CN"/>
        </w:rPr>
        <w:t>章）：</w:t>
      </w:r>
    </w:p>
    <w:p>
      <w:pPr>
        <w:spacing w:line="360" w:lineRule="auto"/>
        <w:ind w:left="5460" w:hanging="5460" w:hangingChars="2275"/>
        <w:jc w:val="center"/>
        <w:rPr>
          <w:rFonts w:ascii="宋体" w:hAnsi="宋体"/>
          <w:bCs/>
          <w:color w:val="auto"/>
          <w:sz w:val="24"/>
          <w:highlight w:val="none"/>
          <w:lang w:val="zh-CN"/>
        </w:rPr>
      </w:pPr>
      <w:r>
        <w:rPr>
          <w:rFonts w:hint="eastAsia" w:ascii="宋体" w:hAnsi="宋体"/>
          <w:bCs/>
          <w:color w:val="auto"/>
          <w:sz w:val="24"/>
          <w:highlight w:val="none"/>
          <w:lang w:val="zh-CN"/>
        </w:rPr>
        <w:t>投标人（签名）：</w:t>
      </w:r>
    </w:p>
    <w:p>
      <w:pPr>
        <w:spacing w:line="360" w:lineRule="auto"/>
        <w:rPr>
          <w:rFonts w:ascii="宋体" w:hAnsi="宋体"/>
          <w:bCs/>
          <w:color w:val="auto"/>
          <w:sz w:val="24"/>
          <w:highlight w:val="none"/>
          <w:lang w:val="zh-CN"/>
        </w:rPr>
      </w:pPr>
    </w:p>
    <w:p>
      <w:pPr>
        <w:rPr>
          <w:rFonts w:ascii="黑体" w:hAnsi="宋体" w:eastAsia="黑体"/>
          <w:bCs/>
          <w:color w:val="auto"/>
          <w:sz w:val="28"/>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p>
    <w:bookmarkEnd w:id="51"/>
    <w:p>
      <w:pPr>
        <w:ind w:firstLine="480" w:firstLineChars="200"/>
        <w:jc w:val="left"/>
        <w:rPr>
          <w:rFonts w:hint="eastAsia" w:ascii="宋体" w:hAnsi="宋体" w:cs="宋体"/>
          <w:bCs/>
          <w:color w:val="auto"/>
          <w:sz w:val="24"/>
          <w:szCs w:val="24"/>
          <w:highlight w:val="none"/>
        </w:rPr>
      </w:pPr>
      <w:bookmarkStart w:id="56" w:name="OLE_LINK32"/>
      <w:r>
        <w:rPr>
          <w:rFonts w:hint="eastAsia" w:ascii="宋体" w:hAnsi="宋体" w:cs="宋体"/>
          <w:bCs/>
          <w:color w:val="auto"/>
          <w:sz w:val="24"/>
          <w:szCs w:val="24"/>
          <w:highlight w:val="none"/>
        </w:rPr>
        <w:t>1、开标一览表（格式）：</w:t>
      </w:r>
    </w:p>
    <w:p>
      <w:pPr>
        <w:tabs>
          <w:tab w:val="left" w:pos="3105"/>
          <w:tab w:val="center" w:pos="4819"/>
        </w:tabs>
        <w:spacing w:before="156" w:beforeLines="50" w:after="156" w:afterLines="50"/>
        <w:jc w:val="center"/>
        <w:rPr>
          <w:rFonts w:hint="eastAsia" w:ascii="宋体" w:hAnsi="宋体" w:cs="宋体"/>
          <w:color w:val="auto"/>
          <w:sz w:val="28"/>
          <w:szCs w:val="28"/>
          <w:highlight w:val="none"/>
        </w:rPr>
      </w:pPr>
      <w:bookmarkStart w:id="57" w:name="_Toc32423"/>
      <w:bookmarkEnd w:id="57"/>
      <w:r>
        <w:rPr>
          <w:rFonts w:hint="eastAsia" w:ascii="宋体" w:hAnsi="宋体" w:cs="宋体"/>
          <w:bCs/>
          <w:color w:val="auto"/>
          <w:sz w:val="28"/>
          <w:szCs w:val="28"/>
          <w:highlight w:val="none"/>
        </w:rPr>
        <w:t>开标一览表</w:t>
      </w:r>
    </w:p>
    <w:p>
      <w:pPr>
        <w:jc w:val="center"/>
        <w:rPr>
          <w:rFonts w:hint="eastAsia" w:ascii="宋体" w:hAnsi="宋体" w:cs="宋体" w:eastAsiaTheme="minorEastAsia"/>
          <w:color w:val="auto"/>
          <w:sz w:val="28"/>
          <w:szCs w:val="28"/>
          <w:highlight w:val="none"/>
          <w:lang w:eastAsia="zh-CN"/>
        </w:rPr>
      </w:pPr>
      <w:r>
        <w:rPr>
          <w:rFonts w:hint="eastAsia" w:ascii="宋体" w:hAnsi="宋体" w:cs="宋体"/>
          <w:color w:val="auto"/>
          <w:sz w:val="28"/>
          <w:szCs w:val="28"/>
          <w:highlight w:val="none"/>
        </w:rPr>
        <w:t>项目编号：</w:t>
      </w:r>
      <w:r>
        <w:rPr>
          <w:rFonts w:hint="eastAsia" w:ascii="宋体" w:hAnsi="宋体" w:cs="宋体"/>
          <w:color w:val="auto"/>
          <w:sz w:val="28"/>
          <w:szCs w:val="28"/>
          <w:highlight w:val="none"/>
          <w:lang w:eastAsia="zh-CN"/>
        </w:rPr>
        <w:t>YXGQ2025236</w:t>
      </w:r>
    </w:p>
    <w:p>
      <w:pPr>
        <w:ind w:left="1"/>
        <w:jc w:val="both"/>
        <w:rPr>
          <w:rFonts w:hint="default" w:ascii="宋体" w:hAnsi="宋体" w:cs="宋体" w:eastAsiaTheme="minorEastAsia"/>
          <w:color w:val="auto"/>
          <w:sz w:val="24"/>
          <w:szCs w:val="24"/>
          <w:highlight w:val="none"/>
          <w:lang w:val="en-US" w:eastAsia="zh-CN"/>
        </w:rPr>
      </w:pPr>
      <w:r>
        <w:rPr>
          <w:rFonts w:hint="eastAsia" w:ascii="宋体" w:hAnsi="宋体"/>
          <w:color w:val="auto"/>
          <w:sz w:val="24"/>
          <w:szCs w:val="24"/>
          <w:highlight w:val="none"/>
        </w:rPr>
        <w:t>投标人名称（盖章）：</w:t>
      </w:r>
      <w:r>
        <w:rPr>
          <w:rFonts w:hint="eastAsia" w:ascii="宋体" w:hAnsi="宋体"/>
          <w:color w:val="auto"/>
          <w:sz w:val="24"/>
          <w:szCs w:val="24"/>
          <w:highlight w:val="none"/>
          <w:lang w:val="en-US" w:eastAsia="zh-CN"/>
        </w:rPr>
        <w:t xml:space="preserve">                                          </w:t>
      </w:r>
      <w:r>
        <w:rPr>
          <w:rFonts w:hint="eastAsia" w:ascii="宋体" w:hAnsi="宋体" w:cs="宋体"/>
          <w:color w:val="auto"/>
          <w:sz w:val="24"/>
          <w:szCs w:val="24"/>
          <w:highlight w:val="none"/>
        </w:rPr>
        <w:t xml:space="preserve">  单位：元</w:t>
      </w:r>
    </w:p>
    <w:tbl>
      <w:tblPr>
        <w:tblStyle w:val="30"/>
        <w:tblW w:w="977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2"/>
        <w:gridCol w:w="1258"/>
        <w:gridCol w:w="1450"/>
        <w:gridCol w:w="1309"/>
        <w:gridCol w:w="405"/>
        <w:gridCol w:w="799"/>
        <w:gridCol w:w="281"/>
        <w:gridCol w:w="424"/>
        <w:gridCol w:w="854"/>
        <w:gridCol w:w="1134"/>
        <w:gridCol w:w="1194"/>
        <w:gridCol w:w="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771" w:hRule="atLeast"/>
          <w:jc w:val="center"/>
        </w:trPr>
        <w:tc>
          <w:tcPr>
            <w:tcW w:w="652" w:type="dxa"/>
            <w:noWrap w:val="0"/>
            <w:vAlign w:val="center"/>
          </w:tcPr>
          <w:p>
            <w:pPr>
              <w:spacing w:before="5"/>
              <w:jc w:val="center"/>
              <w:rPr>
                <w:color w:val="auto"/>
                <w:sz w:val="24"/>
                <w:szCs w:val="24"/>
                <w:highlight w:val="none"/>
              </w:rPr>
            </w:pPr>
            <w:r>
              <w:rPr>
                <w:rFonts w:hint="eastAsia"/>
                <w:color w:val="auto"/>
                <w:sz w:val="24"/>
                <w:szCs w:val="24"/>
                <w:highlight w:val="none"/>
              </w:rPr>
              <w:t>序号</w:t>
            </w:r>
          </w:p>
        </w:tc>
        <w:tc>
          <w:tcPr>
            <w:tcW w:w="1258" w:type="dxa"/>
            <w:noWrap w:val="0"/>
            <w:vAlign w:val="center"/>
          </w:tcPr>
          <w:p>
            <w:pPr>
              <w:spacing w:before="5"/>
              <w:jc w:val="center"/>
              <w:rPr>
                <w:color w:val="auto"/>
                <w:sz w:val="24"/>
                <w:szCs w:val="24"/>
                <w:highlight w:val="none"/>
              </w:rPr>
            </w:pPr>
            <w:r>
              <w:rPr>
                <w:rFonts w:hint="eastAsia"/>
                <w:color w:val="auto"/>
                <w:sz w:val="24"/>
                <w:szCs w:val="24"/>
                <w:highlight w:val="none"/>
              </w:rPr>
              <w:t>货物名称</w:t>
            </w:r>
          </w:p>
        </w:tc>
        <w:tc>
          <w:tcPr>
            <w:tcW w:w="1450" w:type="dxa"/>
            <w:noWrap w:val="0"/>
            <w:vAlign w:val="center"/>
          </w:tcPr>
          <w:p>
            <w:pPr>
              <w:spacing w:before="5"/>
              <w:jc w:val="center"/>
              <w:rPr>
                <w:color w:val="auto"/>
                <w:sz w:val="24"/>
                <w:szCs w:val="24"/>
                <w:highlight w:val="none"/>
              </w:rPr>
            </w:pPr>
            <w:r>
              <w:rPr>
                <w:rFonts w:hint="eastAsia"/>
                <w:color w:val="auto"/>
                <w:sz w:val="24"/>
                <w:szCs w:val="24"/>
                <w:highlight w:val="none"/>
              </w:rPr>
              <w:t>品牌型号</w:t>
            </w:r>
          </w:p>
        </w:tc>
        <w:tc>
          <w:tcPr>
            <w:tcW w:w="1714" w:type="dxa"/>
            <w:gridSpan w:val="2"/>
            <w:noWrap w:val="0"/>
            <w:vAlign w:val="center"/>
          </w:tcPr>
          <w:p>
            <w:pPr>
              <w:spacing w:before="5"/>
              <w:jc w:val="center"/>
              <w:rPr>
                <w:color w:val="auto"/>
                <w:sz w:val="24"/>
                <w:szCs w:val="24"/>
                <w:highlight w:val="none"/>
              </w:rPr>
            </w:pPr>
            <w:r>
              <w:rPr>
                <w:rFonts w:hint="eastAsia"/>
                <w:color w:val="auto"/>
                <w:sz w:val="24"/>
                <w:szCs w:val="24"/>
                <w:highlight w:val="none"/>
              </w:rPr>
              <w:t>生产厂家</w:t>
            </w:r>
          </w:p>
        </w:tc>
        <w:tc>
          <w:tcPr>
            <w:tcW w:w="799" w:type="dxa"/>
            <w:noWrap w:val="0"/>
            <w:vAlign w:val="center"/>
          </w:tcPr>
          <w:p>
            <w:pPr>
              <w:spacing w:before="5"/>
              <w:jc w:val="center"/>
              <w:rPr>
                <w:color w:val="auto"/>
                <w:sz w:val="24"/>
                <w:szCs w:val="24"/>
                <w:highlight w:val="none"/>
              </w:rPr>
            </w:pPr>
            <w:r>
              <w:rPr>
                <w:rFonts w:hint="eastAsia"/>
                <w:color w:val="auto"/>
                <w:sz w:val="24"/>
                <w:szCs w:val="24"/>
                <w:highlight w:val="none"/>
              </w:rPr>
              <w:t>质保期</w:t>
            </w:r>
          </w:p>
        </w:tc>
        <w:tc>
          <w:tcPr>
            <w:tcW w:w="705" w:type="dxa"/>
            <w:gridSpan w:val="2"/>
            <w:noWrap w:val="0"/>
            <w:vAlign w:val="center"/>
          </w:tcPr>
          <w:p>
            <w:pPr>
              <w:spacing w:before="5"/>
              <w:jc w:val="center"/>
              <w:rPr>
                <w:color w:val="auto"/>
                <w:sz w:val="24"/>
                <w:szCs w:val="24"/>
                <w:highlight w:val="none"/>
              </w:rPr>
            </w:pPr>
            <w:r>
              <w:rPr>
                <w:rFonts w:hint="eastAsia"/>
                <w:color w:val="auto"/>
                <w:sz w:val="24"/>
                <w:szCs w:val="24"/>
                <w:highlight w:val="none"/>
              </w:rPr>
              <w:t>数量</w:t>
            </w:r>
          </w:p>
        </w:tc>
        <w:tc>
          <w:tcPr>
            <w:tcW w:w="854" w:type="dxa"/>
            <w:noWrap w:val="0"/>
            <w:vAlign w:val="center"/>
          </w:tcPr>
          <w:p>
            <w:pPr>
              <w:spacing w:before="5"/>
              <w:jc w:val="center"/>
              <w:rPr>
                <w:color w:val="auto"/>
                <w:sz w:val="24"/>
                <w:szCs w:val="24"/>
                <w:highlight w:val="none"/>
              </w:rPr>
            </w:pPr>
            <w:r>
              <w:rPr>
                <w:rFonts w:hint="eastAsia"/>
                <w:color w:val="auto"/>
                <w:sz w:val="24"/>
                <w:szCs w:val="24"/>
                <w:highlight w:val="none"/>
              </w:rPr>
              <w:t>单价</w:t>
            </w:r>
          </w:p>
          <w:p>
            <w:pPr>
              <w:spacing w:before="5"/>
              <w:jc w:val="center"/>
              <w:rPr>
                <w:color w:val="auto"/>
                <w:sz w:val="24"/>
                <w:szCs w:val="24"/>
                <w:highlight w:val="none"/>
              </w:rPr>
            </w:pPr>
            <w:r>
              <w:rPr>
                <w:rFonts w:hint="eastAsia" w:ascii="宋体" w:hAnsi="宋体"/>
                <w:color w:val="auto"/>
                <w:sz w:val="24"/>
                <w:szCs w:val="24"/>
                <w:highlight w:val="none"/>
              </w:rPr>
              <w:t>(元)</w:t>
            </w:r>
          </w:p>
        </w:tc>
        <w:tc>
          <w:tcPr>
            <w:tcW w:w="1134" w:type="dxa"/>
            <w:noWrap w:val="0"/>
            <w:vAlign w:val="center"/>
          </w:tcPr>
          <w:p>
            <w:pPr>
              <w:spacing w:before="5"/>
              <w:jc w:val="center"/>
              <w:rPr>
                <w:color w:val="auto"/>
                <w:sz w:val="24"/>
                <w:szCs w:val="24"/>
                <w:highlight w:val="none"/>
              </w:rPr>
            </w:pPr>
            <w:r>
              <w:rPr>
                <w:rFonts w:hint="eastAsia"/>
                <w:color w:val="auto"/>
                <w:sz w:val="24"/>
                <w:szCs w:val="24"/>
                <w:highlight w:val="none"/>
              </w:rPr>
              <w:t>合计报价</w:t>
            </w:r>
          </w:p>
          <w:p>
            <w:pPr>
              <w:spacing w:before="5"/>
              <w:jc w:val="center"/>
              <w:rPr>
                <w:color w:val="auto"/>
                <w:sz w:val="24"/>
                <w:szCs w:val="24"/>
                <w:highlight w:val="none"/>
              </w:rPr>
            </w:pPr>
            <w:r>
              <w:rPr>
                <w:rFonts w:hint="eastAsia" w:ascii="宋体" w:hAnsi="宋体"/>
                <w:color w:val="auto"/>
                <w:sz w:val="24"/>
                <w:szCs w:val="24"/>
                <w:highlight w:val="none"/>
              </w:rPr>
              <w:t>(元)</w:t>
            </w:r>
          </w:p>
        </w:tc>
        <w:tc>
          <w:tcPr>
            <w:tcW w:w="1194" w:type="dxa"/>
            <w:noWrap w:val="0"/>
            <w:vAlign w:val="center"/>
          </w:tcPr>
          <w:p>
            <w:pPr>
              <w:spacing w:before="5"/>
              <w:jc w:val="center"/>
              <w:rPr>
                <w:color w:val="auto"/>
                <w:sz w:val="24"/>
                <w:szCs w:val="24"/>
                <w:highlight w:val="none"/>
              </w:rPr>
            </w:pPr>
            <w:r>
              <w:rPr>
                <w:rFonts w:hint="eastAsia"/>
                <w:color w:val="auto"/>
                <w:sz w:val="24"/>
                <w:szCs w:val="24"/>
                <w:highlight w:val="none"/>
              </w:rPr>
              <w:t>产品</w:t>
            </w:r>
          </w:p>
          <w:p>
            <w:pPr>
              <w:spacing w:before="5"/>
              <w:jc w:val="center"/>
              <w:rPr>
                <w:color w:val="auto"/>
                <w:sz w:val="24"/>
                <w:szCs w:val="24"/>
                <w:highlight w:val="none"/>
              </w:rPr>
            </w:pPr>
            <w:r>
              <w:rPr>
                <w:rFonts w:hint="eastAsia"/>
                <w:color w:val="auto"/>
                <w:sz w:val="24"/>
                <w:szCs w:val="24"/>
                <w:highlight w:val="none"/>
              </w:rPr>
              <w:t>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rFonts w:hint="eastAsia" w:ascii="宋体" w:hAnsi="宋体" w:eastAsia="宋体" w:cs="宋体"/>
                <w:color w:val="auto"/>
                <w:sz w:val="24"/>
                <w:szCs w:val="36"/>
                <w:highlight w:val="none"/>
              </w:rPr>
            </w:pPr>
            <w:r>
              <w:rPr>
                <w:rFonts w:hint="eastAsia" w:ascii="宋体" w:hAnsi="宋体" w:eastAsia="宋体" w:cs="宋体"/>
                <w:color w:val="auto"/>
                <w:sz w:val="24"/>
                <w:szCs w:val="36"/>
                <w:highlight w:val="none"/>
              </w:rPr>
              <w:t>1</w:t>
            </w: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rFonts w:hint="eastAsia" w:ascii="宋体" w:hAnsi="宋体" w:eastAsia="宋体" w:cs="宋体"/>
                <w:color w:val="auto"/>
                <w:sz w:val="24"/>
                <w:szCs w:val="36"/>
                <w:highlight w:val="none"/>
              </w:rPr>
            </w:pPr>
            <w:r>
              <w:rPr>
                <w:rFonts w:hint="eastAsia" w:ascii="宋体" w:hAnsi="宋体" w:eastAsia="宋体" w:cs="宋体"/>
                <w:color w:val="auto"/>
                <w:sz w:val="24"/>
                <w:szCs w:val="36"/>
                <w:highlight w:val="none"/>
              </w:rPr>
              <w:t>2</w:t>
            </w: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rFonts w:hint="eastAsia" w:ascii="宋体" w:hAnsi="宋体" w:eastAsia="宋体" w:cs="宋体"/>
                <w:color w:val="auto"/>
                <w:sz w:val="24"/>
                <w:szCs w:val="36"/>
                <w:highlight w:val="none"/>
              </w:rPr>
            </w:pPr>
            <w:r>
              <w:rPr>
                <w:rFonts w:hint="eastAsia" w:ascii="宋体" w:hAnsi="宋体" w:eastAsia="宋体" w:cs="宋体"/>
                <w:color w:val="auto"/>
                <w:sz w:val="24"/>
                <w:szCs w:val="36"/>
                <w:highlight w:val="none"/>
              </w:rPr>
              <w:t>...</w:t>
            </w: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color w:val="auto"/>
                <w:sz w:val="18"/>
                <w:highlight w:val="none"/>
              </w:rPr>
            </w:pP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1910" w:type="dxa"/>
            <w:gridSpan w:val="2"/>
            <w:noWrap w:val="0"/>
            <w:vAlign w:val="center"/>
          </w:tcPr>
          <w:p>
            <w:pPr>
              <w:spacing w:before="5"/>
              <w:jc w:val="center"/>
              <w:rPr>
                <w:color w:val="auto"/>
                <w:sz w:val="24"/>
                <w:szCs w:val="24"/>
                <w:highlight w:val="none"/>
              </w:rPr>
            </w:pPr>
            <w:bookmarkStart w:id="58" w:name="OLE_LINK148"/>
            <w:r>
              <w:rPr>
                <w:rFonts w:hint="eastAsia"/>
                <w:b/>
                <w:bCs/>
                <w:color w:val="auto"/>
                <w:sz w:val="24"/>
                <w:szCs w:val="24"/>
                <w:highlight w:val="none"/>
              </w:rPr>
              <w:t>合计总价</w:t>
            </w:r>
            <w:r>
              <w:rPr>
                <w:rFonts w:hint="eastAsia" w:ascii="宋体" w:hAnsi="宋体"/>
                <w:color w:val="auto"/>
                <w:szCs w:val="21"/>
                <w:highlight w:val="none"/>
              </w:rPr>
              <w:t>(元)</w:t>
            </w:r>
          </w:p>
        </w:tc>
        <w:tc>
          <w:tcPr>
            <w:tcW w:w="7861" w:type="dxa"/>
            <w:gridSpan w:val="10"/>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0" w:hRule="atLeast"/>
          <w:jc w:val="center"/>
        </w:trPr>
        <w:tc>
          <w:tcPr>
            <w:tcW w:w="1910" w:type="dxa"/>
            <w:gridSpan w:val="2"/>
            <w:noWrap w:val="0"/>
            <w:vAlign w:val="center"/>
          </w:tcPr>
          <w:p>
            <w:pPr>
              <w:jc w:val="center"/>
              <w:rPr>
                <w:rFonts w:ascii="宋体"/>
                <w:b/>
                <w:bCs/>
                <w:color w:val="auto"/>
                <w:sz w:val="24"/>
                <w:highlight w:val="none"/>
              </w:rPr>
            </w:pPr>
            <w:r>
              <w:rPr>
                <w:rFonts w:hint="eastAsia" w:ascii="宋体"/>
                <w:b/>
                <w:bCs/>
                <w:color w:val="auto"/>
                <w:sz w:val="24"/>
                <w:szCs w:val="22"/>
                <w:highlight w:val="none"/>
              </w:rPr>
              <w:t>核心产品</w:t>
            </w:r>
          </w:p>
        </w:tc>
        <w:tc>
          <w:tcPr>
            <w:tcW w:w="2759" w:type="dxa"/>
            <w:gridSpan w:val="2"/>
            <w:noWrap w:val="0"/>
            <w:vAlign w:val="center"/>
          </w:tcPr>
          <w:p>
            <w:pPr>
              <w:jc w:val="left"/>
              <w:rPr>
                <w:rFonts w:ascii="宋体"/>
                <w:b/>
                <w:bCs/>
                <w:color w:val="auto"/>
                <w:sz w:val="24"/>
                <w:highlight w:val="none"/>
              </w:rPr>
            </w:pPr>
          </w:p>
        </w:tc>
        <w:tc>
          <w:tcPr>
            <w:tcW w:w="1485" w:type="dxa"/>
            <w:gridSpan w:val="3"/>
            <w:noWrap w:val="0"/>
            <w:vAlign w:val="center"/>
          </w:tcPr>
          <w:p>
            <w:pPr>
              <w:rPr>
                <w:rFonts w:ascii="宋体"/>
                <w:b/>
                <w:bCs/>
                <w:color w:val="auto"/>
                <w:sz w:val="24"/>
                <w:szCs w:val="22"/>
                <w:highlight w:val="none"/>
              </w:rPr>
            </w:pPr>
            <w:r>
              <w:rPr>
                <w:rFonts w:hint="eastAsia" w:ascii="宋体"/>
                <w:b/>
                <w:bCs/>
                <w:color w:val="auto"/>
                <w:sz w:val="24"/>
                <w:szCs w:val="22"/>
                <w:highlight w:val="none"/>
              </w:rPr>
              <w:t>序号：</w:t>
            </w:r>
          </w:p>
        </w:tc>
        <w:tc>
          <w:tcPr>
            <w:tcW w:w="3617" w:type="dxa"/>
            <w:gridSpan w:val="5"/>
            <w:noWrap w:val="0"/>
            <w:vAlign w:val="center"/>
          </w:tcPr>
          <w:p>
            <w:pPr>
              <w:rPr>
                <w:rFonts w:ascii="宋体"/>
                <w:b/>
                <w:bCs/>
                <w:color w:val="auto"/>
                <w:sz w:val="24"/>
                <w:szCs w:val="22"/>
                <w:highlight w:val="none"/>
              </w:rPr>
            </w:pPr>
            <w:r>
              <w:rPr>
                <w:rFonts w:hint="eastAsia" w:ascii="宋体"/>
                <w:b/>
                <w:bCs/>
                <w:color w:val="auto"/>
                <w:sz w:val="24"/>
                <w:szCs w:val="22"/>
                <w:highlight w:val="none"/>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0" w:hRule="atLeast"/>
          <w:jc w:val="center"/>
        </w:trPr>
        <w:tc>
          <w:tcPr>
            <w:tcW w:w="1910" w:type="dxa"/>
            <w:gridSpan w:val="2"/>
            <w:noWrap w:val="0"/>
            <w:vAlign w:val="center"/>
          </w:tcPr>
          <w:p>
            <w:pPr>
              <w:jc w:val="center"/>
              <w:rPr>
                <w:rFonts w:ascii="宋体"/>
                <w:b/>
                <w:bCs/>
                <w:color w:val="auto"/>
                <w:sz w:val="24"/>
                <w:highlight w:val="none"/>
              </w:rPr>
            </w:pPr>
            <w:r>
              <w:rPr>
                <w:rFonts w:hint="eastAsia" w:ascii="宋体"/>
                <w:b/>
                <w:bCs/>
                <w:color w:val="auto"/>
                <w:sz w:val="24"/>
                <w:highlight w:val="none"/>
              </w:rPr>
              <w:t>完工期</w:t>
            </w:r>
          </w:p>
        </w:tc>
        <w:tc>
          <w:tcPr>
            <w:tcW w:w="7861" w:type="dxa"/>
            <w:gridSpan w:val="10"/>
            <w:noWrap w:val="0"/>
            <w:vAlign w:val="center"/>
          </w:tcPr>
          <w:p>
            <w:pPr>
              <w:jc w:val="left"/>
              <w:rPr>
                <w:rFonts w:ascii="宋体"/>
                <w:b/>
                <w:bCs/>
                <w:color w:val="auto"/>
                <w:sz w:val="24"/>
                <w:highlight w:val="none"/>
              </w:rPr>
            </w:pPr>
            <w:r>
              <w:rPr>
                <w:rFonts w:hint="eastAsia" w:ascii="宋体"/>
                <w:b/>
                <w:bCs/>
                <w:color w:val="auto"/>
                <w:sz w:val="24"/>
                <w:highlight w:val="none"/>
              </w:rPr>
              <w:t>合同签订后</w:t>
            </w:r>
            <w:r>
              <w:rPr>
                <w:rFonts w:hint="eastAsia" w:ascii="宋体"/>
                <w:b/>
                <w:bCs/>
                <w:color w:val="auto"/>
                <w:sz w:val="24"/>
                <w:highlight w:val="none"/>
                <w:u w:val="single"/>
              </w:rPr>
              <w:t xml:space="preserve">     </w:t>
            </w:r>
            <w:r>
              <w:rPr>
                <w:rFonts w:hint="eastAsia" w:ascii="宋体"/>
                <w:b/>
                <w:bCs/>
                <w:color w:val="auto"/>
                <w:sz w:val="24"/>
                <w:highlight w:val="none"/>
              </w:rPr>
              <w:t>日内到货并调试完成。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3" w:hRule="atLeast"/>
          <w:jc w:val="center"/>
        </w:trPr>
        <w:tc>
          <w:tcPr>
            <w:tcW w:w="1910" w:type="dxa"/>
            <w:gridSpan w:val="2"/>
            <w:noWrap w:val="0"/>
            <w:vAlign w:val="center"/>
          </w:tcPr>
          <w:p>
            <w:pPr>
              <w:jc w:val="center"/>
              <w:rPr>
                <w:rFonts w:ascii="宋体"/>
                <w:b/>
                <w:bCs/>
                <w:color w:val="auto"/>
                <w:sz w:val="24"/>
                <w:highlight w:val="none"/>
              </w:rPr>
            </w:pPr>
            <w:r>
              <w:rPr>
                <w:rFonts w:hint="eastAsia" w:ascii="宋体"/>
                <w:b/>
                <w:bCs/>
                <w:color w:val="auto"/>
                <w:sz w:val="24"/>
                <w:highlight w:val="none"/>
              </w:rPr>
              <w:t>项目整体质保期</w:t>
            </w:r>
          </w:p>
        </w:tc>
        <w:tc>
          <w:tcPr>
            <w:tcW w:w="7861" w:type="dxa"/>
            <w:gridSpan w:val="10"/>
            <w:noWrap w:val="0"/>
            <w:vAlign w:val="center"/>
          </w:tcPr>
          <w:p>
            <w:pPr>
              <w:jc w:val="left"/>
              <w:rPr>
                <w:rFonts w:ascii="宋体"/>
                <w:b/>
                <w:bCs/>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349" w:hRule="atLeast"/>
          <w:jc w:val="center"/>
        </w:trPr>
        <w:tc>
          <w:tcPr>
            <w:tcW w:w="652" w:type="dxa"/>
            <w:vMerge w:val="restart"/>
            <w:noWrap w:val="0"/>
            <w:vAlign w:val="center"/>
          </w:tcPr>
          <w:p>
            <w:pPr>
              <w:pStyle w:val="86"/>
              <w:spacing w:line="400" w:lineRule="exact"/>
              <w:ind w:firstLine="120"/>
              <w:rPr>
                <w:rFonts w:hint="eastAsia" w:ascii="宋体" w:hAnsi="宋体"/>
                <w:b/>
                <w:bCs/>
                <w:color w:val="auto"/>
                <w:sz w:val="24"/>
                <w:szCs w:val="24"/>
                <w:highlight w:val="none"/>
              </w:rPr>
            </w:pPr>
            <w:r>
              <w:rPr>
                <w:rFonts w:hint="eastAsia" w:ascii="宋体" w:hAnsi="宋体"/>
                <w:b/>
                <w:bCs/>
                <w:color w:val="auto"/>
                <w:sz w:val="24"/>
                <w:szCs w:val="24"/>
                <w:highlight w:val="none"/>
              </w:rPr>
              <w:t>服</w:t>
            </w:r>
          </w:p>
          <w:p>
            <w:pPr>
              <w:pStyle w:val="86"/>
              <w:spacing w:line="400" w:lineRule="exact"/>
              <w:ind w:firstLine="120"/>
              <w:rPr>
                <w:rFonts w:hint="eastAsia" w:ascii="宋体" w:hAnsi="宋体"/>
                <w:b/>
                <w:bCs/>
                <w:color w:val="auto"/>
                <w:sz w:val="24"/>
                <w:szCs w:val="24"/>
                <w:highlight w:val="none"/>
              </w:rPr>
            </w:pPr>
            <w:r>
              <w:rPr>
                <w:rFonts w:hint="eastAsia" w:ascii="宋体" w:hAnsi="宋体"/>
                <w:b/>
                <w:bCs/>
                <w:color w:val="auto"/>
                <w:sz w:val="24"/>
                <w:szCs w:val="24"/>
                <w:highlight w:val="none"/>
              </w:rPr>
              <w:t>务</w:t>
            </w:r>
          </w:p>
          <w:p>
            <w:pPr>
              <w:pStyle w:val="86"/>
              <w:spacing w:line="400" w:lineRule="exact"/>
              <w:ind w:firstLine="120"/>
              <w:rPr>
                <w:rFonts w:hint="eastAsia" w:ascii="宋体" w:hAnsi="宋体"/>
                <w:b/>
                <w:bCs/>
                <w:color w:val="auto"/>
                <w:sz w:val="24"/>
                <w:szCs w:val="24"/>
                <w:highlight w:val="none"/>
              </w:rPr>
            </w:pPr>
            <w:r>
              <w:rPr>
                <w:rFonts w:hint="eastAsia" w:ascii="宋体" w:hAnsi="宋体"/>
                <w:b/>
                <w:bCs/>
                <w:color w:val="auto"/>
                <w:sz w:val="24"/>
                <w:szCs w:val="24"/>
                <w:highlight w:val="none"/>
              </w:rPr>
              <w:t>承</w:t>
            </w:r>
          </w:p>
          <w:p>
            <w:pPr>
              <w:spacing w:before="5"/>
              <w:jc w:val="center"/>
              <w:rPr>
                <w:color w:val="auto"/>
                <w:sz w:val="18"/>
                <w:highlight w:val="none"/>
              </w:rPr>
            </w:pPr>
            <w:r>
              <w:rPr>
                <w:rFonts w:hint="eastAsia" w:ascii="宋体" w:hAnsi="宋体"/>
                <w:b/>
                <w:bCs/>
                <w:color w:val="auto"/>
                <w:sz w:val="24"/>
                <w:szCs w:val="24"/>
                <w:highlight w:val="none"/>
              </w:rPr>
              <w:t>诺</w:t>
            </w:r>
          </w:p>
        </w:tc>
        <w:tc>
          <w:tcPr>
            <w:tcW w:w="9119" w:type="dxa"/>
            <w:gridSpan w:val="11"/>
            <w:noWrap w:val="0"/>
            <w:vAlign w:val="center"/>
          </w:tcPr>
          <w:p>
            <w:pPr>
              <w:tabs>
                <w:tab w:val="left" w:pos="210"/>
              </w:tabs>
              <w:jc w:val="left"/>
              <w:rPr>
                <w:rFonts w:hint="eastAsia" w:ascii="宋体" w:hAnsi="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976" w:hRule="atLeast"/>
          <w:jc w:val="center"/>
        </w:trPr>
        <w:tc>
          <w:tcPr>
            <w:tcW w:w="652" w:type="dxa"/>
            <w:vMerge w:val="continue"/>
            <w:noWrap w:val="0"/>
            <w:vAlign w:val="center"/>
          </w:tcPr>
          <w:p>
            <w:pPr>
              <w:spacing w:before="5"/>
              <w:jc w:val="center"/>
              <w:rPr>
                <w:color w:val="auto"/>
                <w:sz w:val="18"/>
                <w:highlight w:val="none"/>
              </w:rPr>
            </w:pPr>
          </w:p>
        </w:tc>
        <w:tc>
          <w:tcPr>
            <w:tcW w:w="9119" w:type="dxa"/>
            <w:gridSpan w:val="11"/>
            <w:noWrap w:val="0"/>
            <w:vAlign w:val="center"/>
          </w:tcPr>
          <w:p>
            <w:pPr>
              <w:tabs>
                <w:tab w:val="left" w:pos="210"/>
              </w:tabs>
              <w:jc w:val="left"/>
              <w:rPr>
                <w:rFonts w:hint="eastAsia" w:ascii="宋体" w:hAnsi="宋体"/>
                <w:bCs/>
                <w:color w:val="auto"/>
                <w:sz w:val="24"/>
                <w:szCs w:val="24"/>
                <w:highlight w:val="none"/>
              </w:rPr>
            </w:pPr>
            <w:r>
              <w:rPr>
                <w:rFonts w:hint="eastAsia" w:ascii="宋体" w:hAnsi="宋体"/>
                <w:bCs/>
                <w:color w:val="auto"/>
                <w:sz w:val="24"/>
                <w:szCs w:val="24"/>
                <w:highlight w:val="none"/>
              </w:rPr>
              <w:t>1</w:t>
            </w:r>
            <w:r>
              <w:rPr>
                <w:rFonts w:ascii="宋体" w:hAnsi="宋体"/>
                <w:bCs/>
                <w:color w:val="auto"/>
                <w:sz w:val="24"/>
                <w:szCs w:val="24"/>
                <w:highlight w:val="none"/>
              </w:rPr>
              <w:t>.</w:t>
            </w:r>
            <w:r>
              <w:rPr>
                <w:rFonts w:hint="eastAsia" w:ascii="宋体" w:hAnsi="宋体"/>
                <w:bCs/>
                <w:color w:val="auto"/>
                <w:sz w:val="24"/>
                <w:szCs w:val="24"/>
                <w:highlight w:val="none"/>
              </w:rPr>
              <w:t>质量</w:t>
            </w:r>
            <w:r>
              <w:rPr>
                <w:rFonts w:ascii="宋体" w:hAnsi="宋体"/>
                <w:bCs/>
                <w:color w:val="auto"/>
                <w:sz w:val="24"/>
                <w:szCs w:val="24"/>
                <w:highlight w:val="none"/>
              </w:rPr>
              <w:t xml:space="preserve"> 2.</w:t>
            </w:r>
            <w:r>
              <w:rPr>
                <w:rFonts w:hint="eastAsia" w:ascii="宋体" w:hAnsi="宋体"/>
                <w:bCs/>
                <w:color w:val="auto"/>
                <w:sz w:val="24"/>
                <w:szCs w:val="24"/>
                <w:highlight w:val="none"/>
              </w:rPr>
              <w:t>安装</w:t>
            </w:r>
            <w:r>
              <w:rPr>
                <w:rFonts w:ascii="宋体" w:hAnsi="宋体"/>
                <w:bCs/>
                <w:color w:val="auto"/>
                <w:sz w:val="24"/>
                <w:szCs w:val="24"/>
                <w:highlight w:val="none"/>
              </w:rPr>
              <w:t xml:space="preserve"> </w:t>
            </w:r>
            <w:r>
              <w:rPr>
                <w:rFonts w:hint="eastAsia" w:ascii="宋体" w:hAnsi="宋体"/>
                <w:bCs/>
                <w:color w:val="auto"/>
                <w:sz w:val="24"/>
                <w:szCs w:val="24"/>
                <w:highlight w:val="none"/>
              </w:rPr>
              <w:t>3</w:t>
            </w:r>
            <w:r>
              <w:rPr>
                <w:rFonts w:ascii="宋体" w:hAnsi="宋体"/>
                <w:bCs/>
                <w:color w:val="auto"/>
                <w:sz w:val="24"/>
                <w:szCs w:val="24"/>
                <w:highlight w:val="none"/>
              </w:rPr>
              <w:t>."</w:t>
            </w:r>
            <w:r>
              <w:rPr>
                <w:rFonts w:hint="eastAsia" w:ascii="宋体" w:hAnsi="宋体"/>
                <w:bCs/>
                <w:color w:val="auto"/>
                <w:sz w:val="24"/>
                <w:szCs w:val="24"/>
                <w:highlight w:val="none"/>
              </w:rPr>
              <w:t>三包</w:t>
            </w:r>
            <w:r>
              <w:rPr>
                <w:rFonts w:ascii="宋体" w:hAnsi="宋体"/>
                <w:bCs/>
                <w:color w:val="auto"/>
                <w:sz w:val="24"/>
                <w:szCs w:val="24"/>
                <w:highlight w:val="none"/>
              </w:rPr>
              <w:t>"(</w:t>
            </w:r>
            <w:r>
              <w:rPr>
                <w:rFonts w:hint="eastAsia" w:ascii="宋体" w:hAnsi="宋体"/>
                <w:bCs/>
                <w:color w:val="auto"/>
                <w:sz w:val="24"/>
                <w:szCs w:val="24"/>
                <w:highlight w:val="none"/>
              </w:rPr>
              <w:t>包修、包退、包换)4</w:t>
            </w:r>
            <w:r>
              <w:rPr>
                <w:rFonts w:ascii="宋体" w:hAnsi="宋体"/>
                <w:bCs/>
                <w:color w:val="auto"/>
                <w:sz w:val="24"/>
                <w:szCs w:val="24"/>
                <w:highlight w:val="none"/>
              </w:rPr>
              <w:t>.</w:t>
            </w:r>
            <w:r>
              <w:rPr>
                <w:rFonts w:hint="eastAsia" w:ascii="宋体" w:hAnsi="宋体"/>
                <w:bCs/>
                <w:color w:val="auto"/>
                <w:sz w:val="24"/>
                <w:szCs w:val="24"/>
                <w:highlight w:val="none"/>
              </w:rPr>
              <w:t>其他承诺</w:t>
            </w:r>
          </w:p>
          <w:p>
            <w:pPr>
              <w:spacing w:before="5"/>
              <w:jc w:val="left"/>
              <w:rPr>
                <w:color w:val="auto"/>
                <w:sz w:val="18"/>
                <w:highlight w:val="none"/>
              </w:rPr>
            </w:pPr>
            <w:r>
              <w:rPr>
                <w:rFonts w:hint="eastAsia" w:ascii="宋体" w:hAnsi="宋体"/>
                <w:bCs/>
                <w:color w:val="auto"/>
                <w:sz w:val="24"/>
                <w:szCs w:val="24"/>
                <w:highlight w:val="none"/>
              </w:rPr>
              <w:t>（以上是主要承诺，供投标人参考，投标人应在满足招标文件要求的基础上，根据自己单位的情况作出具体承诺）</w:t>
            </w:r>
          </w:p>
        </w:tc>
      </w:tr>
      <w:bookmarkEnd w:id="58"/>
    </w:tbl>
    <w:p>
      <w:pPr>
        <w:widowControl/>
        <w:spacing w:before="100" w:after="100"/>
        <w:jc w:val="both"/>
        <w:rPr>
          <w:rFonts w:hint="eastAsia" w:ascii="宋体" w:hAnsi="宋体" w:cs="宋体"/>
          <w:color w:val="auto"/>
          <w:sz w:val="24"/>
          <w:szCs w:val="24"/>
          <w:highlight w:val="none"/>
        </w:rPr>
      </w:pPr>
    </w:p>
    <w:p>
      <w:pPr>
        <w:spacing w:line="360" w:lineRule="auto"/>
        <w:jc w:val="both"/>
        <w:rPr>
          <w:rFonts w:ascii="宋体" w:hAnsi="宋体" w:cs="宋体"/>
          <w:color w:val="auto"/>
          <w:sz w:val="24"/>
          <w:szCs w:val="24"/>
          <w:highlight w:val="none"/>
        </w:rPr>
      </w:pPr>
      <w:r>
        <w:rPr>
          <w:rFonts w:hint="eastAsia" w:ascii="宋体" w:hAnsi="宋体" w:cs="宋体"/>
          <w:bCs/>
          <w:color w:val="auto"/>
          <w:sz w:val="24"/>
          <w:highlight w:val="none"/>
          <w:lang w:val="zh-CN"/>
        </w:rPr>
        <w:t>投标人（签名）：</w:t>
      </w:r>
      <w:r>
        <w:rPr>
          <w:rFonts w:hint="eastAsia" w:ascii="宋体" w:hAnsi="宋体" w:cs="宋体"/>
          <w:bCs/>
          <w:color w:val="auto"/>
          <w:sz w:val="24"/>
          <w:highlight w:val="none"/>
          <w:lang w:val="en-US" w:eastAsia="zh-CN"/>
        </w:rPr>
        <w:t xml:space="preserve">                                              </w:t>
      </w:r>
      <w:r>
        <w:rPr>
          <w:rFonts w:hint="eastAsia" w:ascii="宋体" w:hAnsi="宋体" w:cs="宋体"/>
          <w:color w:val="auto"/>
          <w:sz w:val="24"/>
          <w:szCs w:val="24"/>
          <w:highlight w:val="none"/>
        </w:rPr>
        <w:t> 年  月  日</w:t>
      </w:r>
    </w:p>
    <w:p>
      <w:pPr>
        <w:jc w:val="left"/>
        <w:rPr>
          <w:rFonts w:ascii="宋体" w:hAnsi="宋体"/>
          <w:bCs/>
          <w:color w:val="auto"/>
          <w:sz w:val="24"/>
          <w:highlight w:val="none"/>
          <w:lang w:val="zh-CN"/>
        </w:rPr>
      </w:pPr>
    </w:p>
    <w:p>
      <w:pPr>
        <w:jc w:val="left"/>
        <w:rPr>
          <w:rFonts w:hint="eastAsia" w:ascii="宋体" w:hAnsi="宋体"/>
          <w:bCs/>
          <w:color w:val="auto"/>
          <w:sz w:val="24"/>
          <w:highlight w:val="none"/>
          <w:lang w:val="en-US" w:eastAsia="zh-CN"/>
        </w:rPr>
      </w:pPr>
      <w:r>
        <w:rPr>
          <w:rFonts w:hint="eastAsia" w:ascii="宋体" w:hAnsi="宋体"/>
          <w:bCs/>
          <w:color w:val="auto"/>
          <w:sz w:val="24"/>
          <w:highlight w:val="none"/>
          <w:lang w:val="en-US" w:eastAsia="zh-CN"/>
        </w:rPr>
        <w:t>注：①投标总价</w:t>
      </w:r>
      <w:r>
        <w:rPr>
          <w:rFonts w:hint="eastAsia" w:ascii="宋体" w:hAnsi="宋体"/>
          <w:color w:val="auto"/>
          <w:sz w:val="24"/>
          <w:highlight w:val="none"/>
          <w:u w:val="single"/>
        </w:rPr>
        <w:t>应包含货物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单位认为需要的其他费用等。</w:t>
      </w:r>
    </w:p>
    <w:p>
      <w:pPr>
        <w:jc w:val="left"/>
        <w:rPr>
          <w:rFonts w:hint="eastAsia" w:ascii="宋体" w:hAnsi="宋体"/>
          <w:bCs/>
          <w:color w:val="auto"/>
          <w:sz w:val="24"/>
          <w:highlight w:val="none"/>
          <w:lang w:val="en-US" w:eastAsia="zh-CN"/>
        </w:rPr>
      </w:pPr>
      <w:r>
        <w:rPr>
          <w:rFonts w:hint="eastAsia" w:ascii="宋体" w:hAnsi="宋体"/>
          <w:bCs/>
          <w:color w:val="auto"/>
          <w:sz w:val="24"/>
          <w:highlight w:val="none"/>
          <w:lang w:val="en-US" w:eastAsia="zh-CN"/>
        </w:rPr>
        <w:t>②投标人一旦中标后，如因市场变化、政策性调整等因素导致投标成本的变化，投标报价将不会得到调整。</w:t>
      </w:r>
    </w:p>
    <w:p>
      <w:pPr>
        <w:jc w:val="left"/>
        <w:rPr>
          <w:rFonts w:hint="default" w:ascii="宋体" w:hAnsi="宋体"/>
          <w:bCs/>
          <w:color w:val="auto"/>
          <w:sz w:val="24"/>
          <w:highlight w:val="none"/>
          <w:lang w:val="en-US" w:eastAsia="zh-CN"/>
        </w:rPr>
      </w:pPr>
      <w:r>
        <w:rPr>
          <w:rFonts w:hint="eastAsia" w:ascii="宋体" w:hAnsi="宋体"/>
          <w:bCs/>
          <w:color w:val="auto"/>
          <w:sz w:val="24"/>
          <w:highlight w:val="none"/>
          <w:lang w:val="en-US" w:eastAsia="zh-CN"/>
        </w:rPr>
        <w:t>③</w:t>
      </w:r>
      <w:r>
        <w:rPr>
          <w:rFonts w:hint="eastAsia" w:ascii="宋体" w:hAnsi="宋体"/>
          <w:bCs/>
          <w:color w:val="auto"/>
          <w:sz w:val="24"/>
          <w:highlight w:val="none"/>
          <w:lang w:val="zh-CN"/>
        </w:rPr>
        <w:t>投标品牌必须在推荐品牌中选取，否则投标文件无效。</w:t>
      </w:r>
    </w:p>
    <w:p>
      <w:pPr>
        <w:rPr>
          <w:rFonts w:hint="eastAsia" w:ascii="黑体" w:hAnsi="宋体" w:eastAsia="黑体"/>
          <w:bCs/>
          <w:color w:val="auto"/>
          <w:sz w:val="28"/>
          <w:szCs w:val="28"/>
          <w:highlight w:val="none"/>
        </w:rPr>
      </w:pPr>
    </w:p>
    <w:bookmarkEnd w:id="56"/>
    <w:p>
      <w:pPr>
        <w:rPr>
          <w:rFonts w:ascii="黑体" w:hAnsi="宋体" w:eastAsia="黑体"/>
          <w:bCs/>
          <w:color w:val="auto"/>
          <w:sz w:val="28"/>
          <w:szCs w:val="28"/>
          <w:highlight w:val="none"/>
        </w:rPr>
      </w:pPr>
      <w:bookmarkStart w:id="59" w:name="_Toc8000"/>
      <w:r>
        <w:rPr>
          <w:rFonts w:hint="eastAsia" w:ascii="黑体" w:hAnsi="宋体" w:eastAsia="黑体"/>
          <w:bCs/>
          <w:color w:val="auto"/>
          <w:sz w:val="28"/>
          <w:szCs w:val="28"/>
          <w:highlight w:val="none"/>
        </w:rPr>
        <w:t>（三）资格证明文件</w:t>
      </w:r>
    </w:p>
    <w:p>
      <w:pPr>
        <w:ind w:firstLine="480" w:firstLineChars="200"/>
        <w:rPr>
          <w:rFonts w:ascii="黑体" w:eastAsia="黑体"/>
          <w:bCs/>
          <w:color w:val="auto"/>
          <w:sz w:val="36"/>
          <w:highlight w:val="none"/>
        </w:rPr>
      </w:pPr>
      <w:r>
        <w:rPr>
          <w:rFonts w:hint="eastAsia" w:ascii="黑体" w:hAnsi="宋体" w:eastAsia="黑体"/>
          <w:bCs/>
          <w:color w:val="auto"/>
          <w:sz w:val="24"/>
          <w:szCs w:val="24"/>
          <w:highlight w:val="none"/>
        </w:rPr>
        <w:t>1、关于资格的声明函（格式）：</w:t>
      </w:r>
      <w:bookmarkEnd w:id="59"/>
    </w:p>
    <w:p>
      <w:pPr>
        <w:spacing w:beforeLines="50" w:afterLines="50"/>
        <w:jc w:val="center"/>
        <w:rPr>
          <w:rFonts w:ascii="黑体" w:eastAsia="黑体"/>
          <w:bCs/>
          <w:color w:val="auto"/>
          <w:sz w:val="32"/>
          <w:highlight w:val="none"/>
        </w:rPr>
      </w:pPr>
      <w:bookmarkStart w:id="60" w:name="报价方关于资格的声明函（格式）"/>
      <w:bookmarkEnd w:id="60"/>
      <w:bookmarkStart w:id="61" w:name="_Toc24943"/>
      <w:r>
        <w:rPr>
          <w:rFonts w:hint="eastAsia" w:ascii="黑体" w:eastAsia="黑体"/>
          <w:bCs/>
          <w:color w:val="auto"/>
          <w:sz w:val="28"/>
          <w:szCs w:val="28"/>
          <w:highlight w:val="none"/>
        </w:rPr>
        <w:t>关于资格的声明函</w:t>
      </w:r>
      <w:bookmarkEnd w:id="61"/>
    </w:p>
    <w:p>
      <w:pPr>
        <w:spacing w:line="480" w:lineRule="auto"/>
        <w:jc w:val="right"/>
        <w:rPr>
          <w:rFonts w:ascii="宋体"/>
          <w:bCs/>
          <w:color w:val="auto"/>
          <w:sz w:val="24"/>
          <w:szCs w:val="24"/>
          <w:highlight w:val="none"/>
        </w:rPr>
      </w:pPr>
      <w:bookmarkStart w:id="62" w:name="OLE_LINK80"/>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YXGQ2025236</w:t>
      </w:r>
      <w:r>
        <w:rPr>
          <w:rFonts w:hint="eastAsia" w:ascii="宋体" w:hAnsi="宋体"/>
          <w:bCs/>
          <w:color w:val="auto"/>
          <w:sz w:val="24"/>
          <w:szCs w:val="24"/>
          <w:highlight w:val="none"/>
        </w:rPr>
        <w:t xml:space="preserve">  </w:t>
      </w:r>
    </w:p>
    <w:p>
      <w:pPr>
        <w:tabs>
          <w:tab w:val="left" w:pos="6300"/>
        </w:tabs>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日期： </w:t>
      </w:r>
    </w:p>
    <w:p>
      <w:pPr>
        <w:spacing w:line="480" w:lineRule="auto"/>
        <w:jc w:val="center"/>
        <w:rPr>
          <w:rFonts w:ascii="宋体"/>
          <w:bCs/>
          <w:color w:val="auto"/>
          <w:sz w:val="24"/>
          <w:szCs w:val="24"/>
          <w:highlight w:val="none"/>
        </w:rPr>
      </w:pPr>
    </w:p>
    <w:bookmarkEnd w:id="62"/>
    <w:p>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w:t>
      </w:r>
    </w:p>
    <w:p>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我公司（单位）参加本次项目（</w:t>
      </w:r>
      <w:r>
        <w:rPr>
          <w:rFonts w:hint="eastAsia" w:ascii="宋体" w:hAnsi="宋体"/>
          <w:bCs/>
          <w:color w:val="auto"/>
          <w:sz w:val="24"/>
          <w:szCs w:val="24"/>
          <w:highlight w:val="none"/>
          <w:lang w:eastAsia="zh-CN"/>
        </w:rPr>
        <w:t>YXGQ2025236</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w:t>
      </w:r>
      <w:r>
        <w:rPr>
          <w:rFonts w:ascii="宋体" w:hAnsi="宋体" w:cs="宋体"/>
          <w:color w:val="auto"/>
          <w:kern w:val="0"/>
          <w:sz w:val="24"/>
          <w:szCs w:val="24"/>
          <w:highlight w:val="none"/>
        </w:rPr>
        <w:t>同时，投标时不存在</w:t>
      </w:r>
      <w:bookmarkStart w:id="63" w:name="OLE_LINK242"/>
      <w:r>
        <w:rPr>
          <w:rFonts w:hint="eastAsia" w:ascii="宋体" w:hAnsi="宋体" w:cs="宋体"/>
          <w:color w:val="auto"/>
          <w:kern w:val="0"/>
          <w:sz w:val="24"/>
          <w:szCs w:val="24"/>
          <w:highlight w:val="none"/>
        </w:rPr>
        <w:t>有效期限</w:t>
      </w:r>
      <w:bookmarkEnd w:id="63"/>
      <w:r>
        <w:rPr>
          <w:rFonts w:ascii="宋体" w:hAnsi="宋体" w:cs="宋体"/>
          <w:color w:val="auto"/>
          <w:kern w:val="0"/>
          <w:sz w:val="24"/>
          <w:szCs w:val="24"/>
          <w:highlight w:val="none"/>
        </w:rPr>
        <w:t>内的采购严重违法失信行为的</w:t>
      </w:r>
      <w:r>
        <w:rPr>
          <w:rFonts w:hint="eastAsia" w:ascii="宋体" w:hAnsi="宋体" w:cs="宋体"/>
          <w:color w:val="auto"/>
          <w:kern w:val="0"/>
          <w:sz w:val="24"/>
          <w:szCs w:val="24"/>
          <w:highlight w:val="none"/>
        </w:rPr>
        <w:t>处罚</w:t>
      </w:r>
      <w:r>
        <w:rPr>
          <w:rFonts w:ascii="宋体" w:hAnsi="宋体" w:cs="宋体"/>
          <w:color w:val="auto"/>
          <w:kern w:val="0"/>
          <w:sz w:val="24"/>
          <w:szCs w:val="24"/>
          <w:highlight w:val="none"/>
        </w:rPr>
        <w:t>记录</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未被列入失信名单或重大税收违法案件当事人名单；</w:t>
      </w:r>
      <w:r>
        <w:rPr>
          <w:rFonts w:hint="eastAsia" w:ascii="宋体" w:hAnsi="宋体"/>
          <w:bCs/>
          <w:color w:val="auto"/>
          <w:sz w:val="24"/>
          <w:szCs w:val="24"/>
          <w:highlight w:val="none"/>
        </w:rPr>
        <w:t>且具备履行合同所必需的设备和专业技术能力。我公司（单位）愿针对本次项目（</w:t>
      </w:r>
      <w:r>
        <w:rPr>
          <w:rFonts w:hint="eastAsia" w:ascii="宋体" w:hAnsi="宋体"/>
          <w:bCs/>
          <w:color w:val="auto"/>
          <w:sz w:val="24"/>
          <w:szCs w:val="24"/>
          <w:highlight w:val="none"/>
          <w:lang w:eastAsia="zh-CN"/>
        </w:rPr>
        <w:t>YXGQ2025236</w:t>
      </w:r>
      <w:r>
        <w:rPr>
          <w:rFonts w:hint="eastAsia" w:ascii="黑体" w:eastAsia="黑体"/>
          <w:bCs/>
          <w:color w:val="auto"/>
          <w:sz w:val="24"/>
          <w:szCs w:val="24"/>
          <w:highlight w:val="none"/>
        </w:rPr>
        <w:t>）</w:t>
      </w:r>
      <w:r>
        <w:rPr>
          <w:rFonts w:hint="eastAsia" w:ascii="宋体" w:hAnsi="宋体"/>
          <w:bCs/>
          <w:color w:val="auto"/>
          <w:sz w:val="24"/>
          <w:szCs w:val="24"/>
          <w:highlight w:val="none"/>
        </w:rPr>
        <w:t>进行投标，</w:t>
      </w:r>
      <w:r>
        <w:rPr>
          <w:rFonts w:hint="eastAsia" w:ascii="宋体" w:hAnsi="宋体"/>
          <w:color w:val="auto"/>
          <w:sz w:val="24"/>
          <w:szCs w:val="24"/>
          <w:highlight w:val="none"/>
        </w:rPr>
        <w:t>所提供的货物均为原厂全新合格品，</w:t>
      </w:r>
      <w:r>
        <w:rPr>
          <w:rFonts w:hint="eastAsia" w:ascii="宋体" w:hAnsi="宋体"/>
          <w:bCs/>
          <w:color w:val="auto"/>
          <w:sz w:val="24"/>
          <w:szCs w:val="24"/>
          <w:highlight w:val="none"/>
        </w:rPr>
        <w:t>投标文件中所有关于投标资格的文件、证明、陈述均是真实的、准确的。若有违背，我公司（单位）</w:t>
      </w:r>
      <w:r>
        <w:rPr>
          <w:rFonts w:ascii="宋体"/>
          <w:bCs/>
          <w:color w:val="auto"/>
          <w:sz w:val="24"/>
          <w:szCs w:val="24"/>
          <w:highlight w:val="none"/>
        </w:rPr>
        <w:t>同意监管部门做出的相关决定并承担由此而产生的一切后果</w:t>
      </w:r>
      <w:r>
        <w:rPr>
          <w:rFonts w:hint="eastAsia" w:ascii="宋体"/>
          <w:bCs/>
          <w:color w:val="auto"/>
          <w:sz w:val="24"/>
          <w:szCs w:val="24"/>
          <w:highlight w:val="none"/>
        </w:rPr>
        <w:t>。</w:t>
      </w:r>
    </w:p>
    <w:p>
      <w:pPr>
        <w:spacing w:line="480" w:lineRule="auto"/>
        <w:rPr>
          <w:rFonts w:ascii="宋体"/>
          <w:bCs/>
          <w:color w:val="auto"/>
          <w:sz w:val="24"/>
          <w:szCs w:val="24"/>
          <w:highlight w:val="none"/>
        </w:rPr>
      </w:pPr>
    </w:p>
    <w:p>
      <w:pPr>
        <w:rPr>
          <w:rFonts w:ascii="宋体" w:hAnsi="宋体"/>
          <w:color w:val="auto"/>
          <w:sz w:val="24"/>
          <w:szCs w:val="28"/>
          <w:highlight w:val="none"/>
        </w:rPr>
      </w:pPr>
      <w:bookmarkStart w:id="64" w:name="OLE_LINK81"/>
    </w:p>
    <w:p>
      <w:pPr>
        <w:jc w:val="center"/>
        <w:rPr>
          <w:rFonts w:ascii="宋体" w:hAnsi="宋体"/>
          <w:bCs/>
          <w:color w:val="auto"/>
          <w:sz w:val="24"/>
          <w:highlight w:val="none"/>
          <w:lang w:val="zh-CN"/>
        </w:rPr>
      </w:pPr>
      <w:r>
        <w:rPr>
          <w:rFonts w:hint="eastAsia" w:ascii="宋体" w:hAnsi="宋体"/>
          <w:bCs/>
          <w:color w:val="auto"/>
          <w:sz w:val="24"/>
          <w:highlight w:val="none"/>
          <w:lang w:val="zh-CN"/>
        </w:rPr>
        <w:t>投标人签名：</w:t>
      </w:r>
    </w:p>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投标人公章：</w:t>
      </w:r>
    </w:p>
    <w:bookmarkEnd w:id="64"/>
    <w:p>
      <w:pPr>
        <w:spacing w:line="360" w:lineRule="auto"/>
        <w:jc w:val="center"/>
        <w:rPr>
          <w:rFonts w:ascii="黑体" w:eastAsia="黑体"/>
          <w:bCs/>
          <w:color w:val="auto"/>
          <w:sz w:val="28"/>
          <w:szCs w:val="28"/>
          <w:highlight w:val="none"/>
        </w:rPr>
      </w:pPr>
      <w:bookmarkStart w:id="65" w:name="OLE_LINK36"/>
    </w:p>
    <w:p>
      <w:pPr>
        <w:spacing w:line="360" w:lineRule="auto"/>
        <w:rPr>
          <w:rFonts w:ascii="黑体" w:eastAsia="黑体"/>
          <w:bCs/>
          <w:color w:val="auto"/>
          <w:sz w:val="28"/>
          <w:szCs w:val="28"/>
          <w:highlight w:val="none"/>
        </w:rPr>
      </w:pPr>
      <w:r>
        <w:rPr>
          <w:rFonts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文本框 3"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BYvMCh8gEAAOkDAAAOAAAAAAAAAAEAIAAAACgBAABkcnMvZTJvRG9jLnhtbFBL&#10;BQYAAAAABgAGAFkBAACM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CgUcX28AEAAOkDAAAOAAAAAAAAAAEAIAAAACcBAABkcnMvZTJvRG9jLnhtbFBLBQYA&#10;AAAABgAGAFkBAACJ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bookmarkEnd w:id="65"/>
    <w:p>
      <w:pPr>
        <w:spacing w:line="360" w:lineRule="auto"/>
        <w:rPr>
          <w:rFonts w:ascii="黑体" w:eastAsia="黑体"/>
          <w:bCs/>
          <w:color w:val="auto"/>
          <w:sz w:val="28"/>
          <w:szCs w:val="28"/>
          <w:highlight w:val="none"/>
        </w:rPr>
      </w:pPr>
    </w:p>
    <w:p>
      <w:pPr>
        <w:ind w:firstLine="480" w:firstLineChars="200"/>
        <w:rPr>
          <w:rFonts w:ascii="宋体" w:hAnsi="宋体"/>
          <w:color w:val="auto"/>
          <w:sz w:val="24"/>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2、法定代表人授权委托书（格式）：</w:t>
      </w:r>
    </w:p>
    <w:p>
      <w:pPr>
        <w:spacing w:beforeLines="50" w:afterLines="50"/>
        <w:jc w:val="center"/>
        <w:rPr>
          <w:rFonts w:ascii="黑体" w:hAnsi="黑体" w:eastAsia="黑体"/>
          <w:color w:val="auto"/>
          <w:sz w:val="28"/>
          <w:szCs w:val="28"/>
          <w:highlight w:val="none"/>
        </w:rPr>
      </w:pPr>
      <w:r>
        <w:rPr>
          <w:rFonts w:hint="eastAsia" w:ascii="黑体" w:hAnsi="黑体" w:eastAsia="黑体"/>
          <w:color w:val="auto"/>
          <w:sz w:val="28"/>
          <w:szCs w:val="28"/>
          <w:highlight w:val="none"/>
        </w:rPr>
        <w:t>法定代表人授权书</w:t>
      </w:r>
    </w:p>
    <w:p>
      <w:pPr>
        <w:jc w:val="center"/>
        <w:rPr>
          <w:rFonts w:ascii="宋体" w:hAnsi="宋体"/>
          <w:color w:val="auto"/>
          <w:sz w:val="24"/>
          <w:szCs w:val="28"/>
          <w:highlight w:val="none"/>
        </w:rPr>
      </w:pPr>
    </w:p>
    <w:p>
      <w:pPr>
        <w:tabs>
          <w:tab w:val="left" w:pos="255"/>
        </w:tabs>
        <w:spacing w:line="360" w:lineRule="auto"/>
        <w:ind w:left="420" w:leftChars="200"/>
        <w:jc w:val="right"/>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项目编号：YXGQ2025236  </w:t>
      </w:r>
    </w:p>
    <w:p>
      <w:pPr>
        <w:tabs>
          <w:tab w:val="left" w:pos="255"/>
        </w:tabs>
        <w:spacing w:line="360" w:lineRule="auto"/>
        <w:ind w:left="420" w:leftChars="200"/>
        <w:jc w:val="right"/>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  日期：</w:t>
      </w:r>
    </w:p>
    <w:p>
      <w:pPr>
        <w:tabs>
          <w:tab w:val="left" w:pos="255"/>
        </w:tabs>
        <w:spacing w:line="360" w:lineRule="auto"/>
        <w:ind w:left="420" w:leftChars="200"/>
        <w:rPr>
          <w:rFonts w:ascii="宋体" w:hAnsi="宋体" w:eastAsia="宋体" w:cs="Times New Roman"/>
          <w:color w:val="auto"/>
          <w:sz w:val="24"/>
          <w:szCs w:val="21"/>
          <w:highlight w:val="none"/>
          <w:lang w:val="zh-CN"/>
        </w:rPr>
      </w:pPr>
      <w:r>
        <w:rPr>
          <w:rFonts w:hint="eastAsia" w:ascii="宋体" w:hAnsi="宋体" w:eastAsia="宋体" w:cs="Times New Roman"/>
          <w:bCs/>
          <w:color w:val="auto"/>
          <w:sz w:val="24"/>
          <w:szCs w:val="24"/>
          <w:highlight w:val="none"/>
          <w:lang w:eastAsia="zh-CN"/>
        </w:rPr>
        <w:t>宜兴市排水有限公司</w:t>
      </w:r>
      <w:r>
        <w:rPr>
          <w:rFonts w:hint="eastAsia" w:ascii="宋体" w:hAnsi="宋体" w:eastAsia="宋体" w:cs="Times New Roman"/>
          <w:bCs/>
          <w:color w:val="auto"/>
          <w:sz w:val="24"/>
          <w:szCs w:val="24"/>
          <w:highlight w:val="none"/>
        </w:rPr>
        <w:t>、</w:t>
      </w:r>
      <w:r>
        <w:rPr>
          <w:rFonts w:hint="eastAsia" w:ascii="宋体" w:hAnsi="宋体" w:eastAsia="宋体" w:cs="Times New Roman"/>
          <w:color w:val="auto"/>
          <w:sz w:val="24"/>
          <w:szCs w:val="21"/>
          <w:highlight w:val="none"/>
          <w:lang w:val="zh-CN"/>
        </w:rPr>
        <w:t>江苏恒鸿建设咨询有限公司：</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u w:val="single"/>
          <w:lang w:val="zh-CN"/>
        </w:rPr>
        <w:t>（单位）</w:t>
      </w:r>
      <w:r>
        <w:rPr>
          <w:rFonts w:hint="eastAsia" w:ascii="宋体" w:hAnsi="宋体" w:eastAsia="宋体" w:cs="Times New Roman"/>
          <w:color w:val="auto"/>
          <w:sz w:val="24"/>
          <w:szCs w:val="21"/>
          <w:highlight w:val="none"/>
          <w:lang w:val="zh-CN"/>
        </w:rPr>
        <w:t>系中华人民共和国合法企业。法定地址：特授权代表我公司</w:t>
      </w:r>
      <w:r>
        <w:rPr>
          <w:rFonts w:hint="eastAsia" w:ascii="宋体" w:hAnsi="宋体" w:eastAsia="宋体" w:cs="Times New Roman"/>
          <w:color w:val="auto"/>
          <w:sz w:val="24"/>
          <w:szCs w:val="21"/>
          <w:highlight w:val="none"/>
          <w:u w:val="single"/>
          <w:lang w:val="zh-CN"/>
        </w:rPr>
        <w:t>（单位）</w:t>
      </w:r>
      <w:r>
        <w:rPr>
          <w:rFonts w:hint="eastAsia" w:ascii="宋体" w:hAnsi="宋体" w:eastAsia="宋体" w:cs="Times New Roman"/>
          <w:color w:val="auto"/>
          <w:sz w:val="24"/>
          <w:szCs w:val="21"/>
          <w:highlight w:val="none"/>
          <w:lang w:val="zh-CN"/>
        </w:rPr>
        <w:t>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我公司</w:t>
      </w:r>
      <w:r>
        <w:rPr>
          <w:rFonts w:hint="eastAsia" w:ascii="宋体" w:hAnsi="宋体" w:eastAsia="宋体" w:cs="Times New Roman"/>
          <w:color w:val="auto"/>
          <w:sz w:val="24"/>
          <w:szCs w:val="21"/>
          <w:highlight w:val="none"/>
          <w:u w:val="single"/>
          <w:lang w:val="zh-CN"/>
        </w:rPr>
        <w:t>（单位）</w:t>
      </w:r>
      <w:r>
        <w:rPr>
          <w:rFonts w:hint="eastAsia" w:ascii="宋体" w:hAnsi="宋体" w:eastAsia="宋体" w:cs="Times New Roman"/>
          <w:color w:val="auto"/>
          <w:sz w:val="24"/>
          <w:szCs w:val="21"/>
          <w:highlight w:val="none"/>
          <w:lang w:val="zh-CN"/>
        </w:rPr>
        <w:t>对被授权代表人的签名负全部责任。</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被授权代表人情况：</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姓名：           性别：        年龄：         职务：</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身份证号码：                   手机号码：</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办公电话：                     传真：</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通讯地址：</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被授权代表人签名：                  单位名称（公章）：</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 xml:space="preserve">                                    法定代表人签名：</w:t>
      </w:r>
    </w:p>
    <w:p>
      <w:pPr>
        <w:spacing w:line="360" w:lineRule="auto"/>
        <w:rPr>
          <w:rFonts w:ascii="黑体" w:hAnsi="Calibri" w:eastAsia="黑体" w:cs="Times New Roman"/>
          <w:bCs/>
          <w:color w:val="auto"/>
          <w:sz w:val="28"/>
          <w:szCs w:val="28"/>
          <w:highlight w:val="none"/>
        </w:rPr>
      </w:pPr>
    </w:p>
    <w:p>
      <w:pPr>
        <w:spacing w:line="360" w:lineRule="auto"/>
        <w:rPr>
          <w:rFonts w:ascii="黑体" w:eastAsia="黑体"/>
          <w:bCs/>
          <w:color w:val="auto"/>
          <w:sz w:val="28"/>
          <w:szCs w:val="28"/>
          <w:highlight w:val="none"/>
        </w:rPr>
      </w:pPr>
      <w:r>
        <w:rPr>
          <w:rFonts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upright="1"/>
                    </wps:wsp>
                  </a:graphicData>
                </a:graphic>
              </wp:anchor>
            </w:drawing>
          </mc:Choice>
          <mc:Fallback>
            <w:pict>
              <v:shape id="文本框 5"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E3mWtfMBAADpAwAADgAAAAAAAAABACAAAAAoAQAAZHJzL2Uyb0RvYy54bWxQ&#10;SwUGAAAAAAYABgBZAQAAjQ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4"/>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upright="1"/>
                    </wps:wsp>
                  </a:graphicData>
                </a:graphic>
              </wp:anchor>
            </w:drawing>
          </mc:Choice>
          <mc:Fallback>
            <w:pict>
              <v:shape id="文本框 4"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jQWNF2AAAAAgBAAAPAAAAAAAAAAEAIAAAACIAAABkcnMvZG93bnJldi54bWxQSwECFAAU&#10;AAAACACHTuJAndO0JvEBAADpAwAADgAAAAAAAAABACAAAAAnAQAAZHJzL2Uyb0RvYy54bWxQSwUG&#10;AAAAAAYABgBZAQAAig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p>
      <w:pPr>
        <w:spacing w:line="360" w:lineRule="auto"/>
        <w:ind w:firstLine="480" w:firstLineChars="200"/>
        <w:rPr>
          <w:rFonts w:ascii="黑体" w:hAnsi="宋体" w:eastAsia="黑体"/>
          <w:bCs/>
          <w:color w:val="auto"/>
          <w:sz w:val="24"/>
          <w:szCs w:val="24"/>
          <w:highlight w:val="none"/>
        </w:rPr>
      </w:pPr>
    </w:p>
    <w:p>
      <w:pPr>
        <w:rPr>
          <w:rFonts w:ascii="黑体" w:hAnsi="宋体" w:eastAsia="黑体"/>
          <w:bCs/>
          <w:color w:val="auto"/>
          <w:sz w:val="24"/>
          <w:szCs w:val="24"/>
          <w:highlight w:val="none"/>
        </w:rPr>
      </w:pPr>
    </w:p>
    <w:p>
      <w:pPr>
        <w:tabs>
          <w:tab w:val="left" w:pos="0"/>
          <w:tab w:val="left" w:pos="255"/>
        </w:tabs>
        <w:ind w:firstLine="240" w:firstLineChars="100"/>
        <w:rPr>
          <w:rFonts w:ascii="宋体" w:hAnsi="宋体" w:eastAsia="宋体" w:cs="宋体"/>
          <w:color w:val="auto"/>
          <w:sz w:val="24"/>
          <w:szCs w:val="24"/>
          <w:highlight w:val="none"/>
        </w:rPr>
      </w:pPr>
      <w:bookmarkStart w:id="66" w:name="_Toc27231"/>
      <w:r>
        <w:rPr>
          <w:rFonts w:hint="eastAsia" w:ascii="宋体" w:hAnsi="宋体" w:eastAsia="宋体" w:cs="宋体"/>
          <w:color w:val="auto"/>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pPr>
        <w:ind w:firstLine="480" w:firstLineChars="200"/>
        <w:rPr>
          <w:rFonts w:ascii="黑体" w:hAnsi="宋体" w:eastAsia="黑体"/>
          <w:bCs/>
          <w:color w:val="auto"/>
          <w:sz w:val="24"/>
          <w:szCs w:val="24"/>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3、资格性证明材料复印件：</w:t>
      </w:r>
      <w:bookmarkEnd w:id="66"/>
    </w:p>
    <w:p>
      <w:pPr>
        <w:spacing w:beforeLines="50" w:afterLines="50" w:line="480" w:lineRule="auto"/>
        <w:jc w:val="center"/>
        <w:rPr>
          <w:rFonts w:ascii="宋体" w:hAnsi="宋体"/>
          <w:bCs/>
          <w:color w:val="auto"/>
          <w:sz w:val="24"/>
          <w:szCs w:val="24"/>
          <w:highlight w:val="none"/>
        </w:rPr>
      </w:pPr>
      <w:r>
        <w:rPr>
          <w:rFonts w:hint="eastAsia" w:ascii="黑体" w:hAnsi="黑体" w:eastAsia="黑体"/>
          <w:bCs/>
          <w:color w:val="auto"/>
          <w:sz w:val="28"/>
          <w:szCs w:val="24"/>
          <w:highlight w:val="none"/>
        </w:rPr>
        <w:t>资格性证明材料</w:t>
      </w:r>
    </w:p>
    <w:p>
      <w:pPr>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项目编号：</w:t>
      </w:r>
      <w:r>
        <w:rPr>
          <w:rFonts w:hint="eastAsia" w:ascii="宋体" w:hAnsi="宋体"/>
          <w:bCs/>
          <w:color w:val="auto"/>
          <w:sz w:val="24"/>
          <w:szCs w:val="24"/>
          <w:highlight w:val="none"/>
          <w:lang w:eastAsia="zh-CN"/>
        </w:rPr>
        <w:t>YXGQ2025236</w:t>
      </w:r>
      <w:r>
        <w:rPr>
          <w:rFonts w:hint="eastAsia" w:ascii="宋体" w:hAnsi="宋体"/>
          <w:bCs/>
          <w:color w:val="auto"/>
          <w:sz w:val="24"/>
          <w:szCs w:val="24"/>
          <w:highlight w:val="none"/>
        </w:rPr>
        <w:t xml:space="preserve">  </w:t>
      </w:r>
    </w:p>
    <w:p>
      <w:pPr>
        <w:spacing w:line="360" w:lineRule="auto"/>
        <w:jc w:val="center"/>
        <w:rPr>
          <w:rFonts w:ascii="宋体" w:hAnsi="宋体"/>
          <w:bCs/>
          <w:color w:val="auto"/>
          <w:sz w:val="24"/>
          <w:szCs w:val="24"/>
          <w:highlight w:val="none"/>
        </w:rPr>
      </w:pPr>
      <w:r>
        <w:rPr>
          <w:rFonts w:hint="eastAsia" w:ascii="宋体" w:hAnsi="宋体"/>
          <w:bCs/>
          <w:color w:val="auto"/>
          <w:sz w:val="24"/>
          <w:szCs w:val="24"/>
          <w:highlight w:val="none"/>
        </w:rPr>
        <w:t xml:space="preserve">                   日期：</w:t>
      </w:r>
    </w:p>
    <w:p>
      <w:pPr>
        <w:spacing w:line="480" w:lineRule="auto"/>
        <w:rPr>
          <w:rFonts w:ascii="宋体" w:hAnsi="宋体" w:cs="宋体"/>
          <w:color w:val="auto"/>
          <w:sz w:val="24"/>
          <w:szCs w:val="24"/>
          <w:highlight w:val="none"/>
        </w:rPr>
      </w:pPr>
      <w:r>
        <w:rPr>
          <w:rFonts w:hint="eastAsia" w:ascii="宋体" w:hAnsi="宋体"/>
          <w:bCs/>
          <w:color w:val="auto"/>
          <w:sz w:val="24"/>
          <w:szCs w:val="24"/>
          <w:highlight w:val="none"/>
        </w:rPr>
        <w:t>投标人应按以下顺序提供相关材料复印件：</w:t>
      </w:r>
    </w:p>
    <w:p>
      <w:pPr>
        <w:numPr>
          <w:ilvl w:val="0"/>
          <w:numId w:val="16"/>
        </w:numPr>
        <w:tabs>
          <w:tab w:val="left" w:pos="0"/>
          <w:tab w:val="left" w:pos="255"/>
        </w:tabs>
        <w:spacing w:line="360" w:lineRule="auto"/>
        <w:rPr>
          <w:rFonts w:ascii="宋体" w:hAnsi="宋体"/>
          <w:color w:val="auto"/>
          <w:sz w:val="24"/>
          <w:szCs w:val="24"/>
          <w:highlight w:val="none"/>
        </w:rPr>
      </w:pPr>
      <w:r>
        <w:rPr>
          <w:rFonts w:hint="eastAsia" w:ascii="宋体" w:hAnsi="宋体"/>
          <w:color w:val="auto"/>
          <w:sz w:val="24"/>
          <w:szCs w:val="24"/>
          <w:highlight w:val="none"/>
        </w:rPr>
        <w:t>具有独立承担民事责任能力的</w:t>
      </w:r>
      <w:r>
        <w:rPr>
          <w:rFonts w:hint="eastAsia" w:ascii="宋体" w:hAnsi="宋体" w:eastAsia="宋体" w:cs="Times New Roman"/>
          <w:bCs/>
          <w:color w:val="auto"/>
          <w:sz w:val="24"/>
          <w:szCs w:val="24"/>
          <w:highlight w:val="none"/>
        </w:rPr>
        <w:t>投标人</w:t>
      </w:r>
      <w:r>
        <w:rPr>
          <w:rFonts w:hint="eastAsia" w:ascii="宋体" w:hAnsi="宋体" w:eastAsia="宋体" w:cs="Times New Roman"/>
          <w:bCs/>
          <w:color w:val="auto"/>
          <w:sz w:val="24"/>
          <w:szCs w:val="24"/>
          <w:highlight w:val="none"/>
          <w:lang w:val="zh-CN"/>
        </w:rPr>
        <w:t>营业执照</w:t>
      </w:r>
      <w:r>
        <w:rPr>
          <w:rFonts w:hint="eastAsia" w:ascii="宋体" w:hAnsi="宋体"/>
          <w:color w:val="auto"/>
          <w:sz w:val="24"/>
          <w:szCs w:val="21"/>
          <w:highlight w:val="none"/>
          <w:lang w:val="zh-CN"/>
        </w:rPr>
        <w:t>或法人（登记）证书复印件；(</w:t>
      </w:r>
      <w:r>
        <w:rPr>
          <w:rFonts w:hint="eastAsia" w:ascii="宋体" w:hAnsi="宋体"/>
          <w:b/>
          <w:bCs/>
          <w:color w:val="auto"/>
          <w:sz w:val="24"/>
          <w:szCs w:val="24"/>
          <w:highlight w:val="none"/>
        </w:rPr>
        <w:t>投标时必须提交相应原件或公证件）</w:t>
      </w:r>
    </w:p>
    <w:p>
      <w:pPr>
        <w:numPr>
          <w:ilvl w:val="0"/>
          <w:numId w:val="16"/>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投标人依法缴纳近十二个月中任意一个月份税收的相关材料（提供相关主管部门证明或银行代扣证明）复印件；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rPr>
          <w:rFonts w:ascii="宋体" w:hAnsi="宋体" w:eastAsia="宋体" w:cs="宋体"/>
          <w:color w:val="auto"/>
          <w:sz w:val="24"/>
          <w:szCs w:val="24"/>
          <w:highlight w:val="none"/>
        </w:rPr>
      </w:pPr>
      <w:r>
        <w:rPr>
          <w:rFonts w:hint="eastAsia" w:ascii="宋体" w:hAnsi="宋体" w:cs="宋体"/>
          <w:color w:val="auto"/>
          <w:sz w:val="24"/>
          <w:szCs w:val="24"/>
          <w:highlight w:val="none"/>
        </w:rPr>
        <w:t>投标人依法缴纳</w:t>
      </w:r>
      <w:r>
        <w:rPr>
          <w:rFonts w:hint="eastAsia" w:ascii="宋体" w:hAnsi="宋体"/>
          <w:color w:val="auto"/>
          <w:sz w:val="24"/>
          <w:szCs w:val="24"/>
          <w:highlight w:val="none"/>
        </w:rPr>
        <w:t>近十二个月中任意一个月份</w:t>
      </w:r>
      <w:r>
        <w:rPr>
          <w:rFonts w:hint="eastAsia" w:ascii="宋体" w:hAnsi="宋体" w:cs="宋体"/>
          <w:color w:val="auto"/>
          <w:sz w:val="24"/>
          <w:szCs w:val="24"/>
          <w:highlight w:val="none"/>
        </w:rPr>
        <w:t>社会保障资金的相关材料（提供相关主管部门证明或银行代扣证明）复印件；</w:t>
      </w:r>
    </w:p>
    <w:p>
      <w:pPr>
        <w:numPr>
          <w:ilvl w:val="0"/>
          <w:numId w:val="16"/>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投标人（或其全资子公司、分公司）为本项目被授权代表在近三个月内（不含投标当月）任意一个月缴纳的社保证明复印件（提供相关主管部门证明或银行代扣证明，法定代表人亲自参加报价的除外）。</w:t>
      </w:r>
    </w:p>
    <w:p>
      <w:pPr>
        <w:numPr>
          <w:ilvl w:val="0"/>
          <w:numId w:val="16"/>
        </w:numPr>
        <w:tabs>
          <w:tab w:val="left" w:pos="420"/>
          <w:tab w:val="left" w:pos="945"/>
          <w:tab w:val="left" w:pos="1155"/>
        </w:tabs>
        <w:spacing w:line="360" w:lineRule="auto"/>
        <w:ind w:firstLine="482" w:firstLineChars="200"/>
        <w:rPr>
          <w:color w:val="auto"/>
          <w:highlight w:val="none"/>
        </w:rPr>
      </w:pPr>
      <w:r>
        <w:rPr>
          <w:rFonts w:hint="eastAsia" w:ascii="宋体" w:hAnsi="宋体"/>
          <w:b/>
          <w:color w:val="auto"/>
          <w:sz w:val="24"/>
          <w:szCs w:val="24"/>
          <w:highlight w:val="none"/>
        </w:rPr>
        <w:t>良好的信用记录：</w:t>
      </w:r>
      <w:r>
        <w:rPr>
          <w:rFonts w:hint="eastAsia" w:ascii="宋体" w:hAnsi="宋体"/>
          <w:bCs/>
          <w:color w:val="auto"/>
          <w:sz w:val="24"/>
          <w:szCs w:val="24"/>
          <w:highlight w:val="none"/>
        </w:rPr>
        <w:t>未被“</w:t>
      </w:r>
      <w:r>
        <w:rPr>
          <w:rFonts w:hint="eastAsia" w:ascii="宋体" w:hAnsi="宋体"/>
          <w:bCs/>
          <w:color w:val="auto"/>
          <w:sz w:val="24"/>
          <w:szCs w:val="24"/>
          <w:highlight w:val="none"/>
          <w:lang w:val="zh-CN"/>
        </w:rPr>
        <w:t>信用中国</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（www.creditchina.gov.cn）</w:t>
      </w:r>
      <w:r>
        <w:rPr>
          <w:rFonts w:hint="eastAsia" w:ascii="宋体" w:hAnsi="宋体"/>
          <w:bCs/>
          <w:color w:val="auto"/>
          <w:sz w:val="24"/>
          <w:szCs w:val="24"/>
          <w:highlight w:val="none"/>
          <w:lang w:val="zh-CN"/>
        </w:rPr>
        <w:t>列入失信执行人、重大税收违法案件当事人名单、严重失信主体名单</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或未在</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中国政府采购网</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（www.ccgp.gov.cn）</w:t>
      </w:r>
      <w:r>
        <w:rPr>
          <w:rFonts w:hint="eastAsia" w:ascii="宋体" w:hAnsi="宋体"/>
          <w:bCs/>
          <w:color w:val="auto"/>
          <w:sz w:val="24"/>
          <w:szCs w:val="24"/>
          <w:highlight w:val="none"/>
          <w:lang w:val="zh-CN"/>
        </w:rPr>
        <w:t>被列入政府采购严重违法失信行为记录名单</w:t>
      </w:r>
      <w:r>
        <w:rPr>
          <w:rFonts w:hint="eastAsia" w:ascii="宋体" w:hAnsi="宋体"/>
          <w:bCs/>
          <w:color w:val="auto"/>
          <w:sz w:val="24"/>
          <w:szCs w:val="24"/>
          <w:highlight w:val="none"/>
          <w:lang w:eastAsia="zh-CN"/>
        </w:rPr>
        <w:t>。</w:t>
      </w:r>
      <w:r>
        <w:rPr>
          <w:rFonts w:hint="eastAsia" w:ascii="宋体" w:hAnsi="宋体"/>
          <w:b/>
          <w:color w:val="auto"/>
          <w:sz w:val="24"/>
          <w:szCs w:val="24"/>
          <w:highlight w:val="none"/>
        </w:rPr>
        <w:t>（</w:t>
      </w:r>
      <w:r>
        <w:rPr>
          <w:rFonts w:ascii="宋体" w:hAnsi="宋体"/>
          <w:b/>
          <w:color w:val="auto"/>
          <w:sz w:val="24"/>
          <w:szCs w:val="24"/>
          <w:highlight w:val="none"/>
        </w:rPr>
        <w:t>若</w:t>
      </w:r>
      <w:r>
        <w:rPr>
          <w:rFonts w:hint="eastAsia" w:ascii="宋体" w:hAnsi="宋体"/>
          <w:b/>
          <w:color w:val="auto"/>
          <w:sz w:val="24"/>
          <w:szCs w:val="24"/>
          <w:highlight w:val="none"/>
        </w:rPr>
        <w:t>供应商</w:t>
      </w:r>
      <w:r>
        <w:rPr>
          <w:rFonts w:ascii="宋体" w:hAnsi="宋体"/>
          <w:b/>
          <w:color w:val="auto"/>
          <w:sz w:val="24"/>
          <w:szCs w:val="24"/>
          <w:highlight w:val="none"/>
        </w:rPr>
        <w:t>企业信息已录入以上网站的，</w:t>
      </w:r>
      <w:r>
        <w:rPr>
          <w:rFonts w:hint="eastAsia" w:ascii="宋体" w:hAnsi="宋体"/>
          <w:b/>
          <w:color w:val="auto"/>
          <w:sz w:val="24"/>
          <w:szCs w:val="24"/>
          <w:highlight w:val="none"/>
          <w:lang w:val="zh-CN"/>
        </w:rPr>
        <w:t>无需提供相关证明材料</w:t>
      </w:r>
      <w:r>
        <w:rPr>
          <w:rFonts w:ascii="宋体" w:hAnsi="宋体"/>
          <w:b/>
          <w:color w:val="auto"/>
          <w:sz w:val="24"/>
          <w:szCs w:val="24"/>
          <w:highlight w:val="none"/>
        </w:rPr>
        <w:t>；</w:t>
      </w:r>
      <w:r>
        <w:rPr>
          <w:rFonts w:hint="eastAsia" w:ascii="宋体" w:hAnsi="宋体"/>
          <w:b/>
          <w:color w:val="auto"/>
          <w:sz w:val="24"/>
          <w:szCs w:val="24"/>
          <w:highlight w:val="none"/>
        </w:rPr>
        <w:t>若供应商企业信息</w:t>
      </w:r>
      <w:r>
        <w:rPr>
          <w:rFonts w:ascii="宋体" w:hAnsi="宋体"/>
          <w:b/>
          <w:color w:val="auto"/>
          <w:sz w:val="24"/>
          <w:szCs w:val="24"/>
          <w:highlight w:val="none"/>
        </w:rPr>
        <w:t>未</w:t>
      </w:r>
      <w:r>
        <w:rPr>
          <w:rFonts w:hint="eastAsia" w:ascii="宋体" w:hAnsi="宋体"/>
          <w:b/>
          <w:color w:val="auto"/>
          <w:sz w:val="24"/>
          <w:szCs w:val="24"/>
          <w:highlight w:val="none"/>
        </w:rPr>
        <w:t>录入以上网站的，须在投标文件中提供</w:t>
      </w:r>
      <w:r>
        <w:rPr>
          <w:rFonts w:ascii="宋体" w:hAnsi="宋体"/>
          <w:b/>
          <w:color w:val="auto"/>
          <w:sz w:val="24"/>
          <w:szCs w:val="24"/>
          <w:highlight w:val="none"/>
        </w:rPr>
        <w:t>无不良信用记录</w:t>
      </w:r>
      <w:r>
        <w:rPr>
          <w:rFonts w:hint="eastAsia" w:ascii="宋体" w:hAnsi="宋体"/>
          <w:b/>
          <w:color w:val="auto"/>
          <w:sz w:val="24"/>
          <w:szCs w:val="24"/>
          <w:highlight w:val="none"/>
        </w:rPr>
        <w:t>承诺</w:t>
      </w:r>
      <w:r>
        <w:rPr>
          <w:rFonts w:ascii="宋体" w:hAnsi="宋体"/>
          <w:b/>
          <w:color w:val="auto"/>
          <w:sz w:val="24"/>
          <w:szCs w:val="24"/>
          <w:highlight w:val="none"/>
        </w:rPr>
        <w:t>书</w:t>
      </w:r>
      <w:r>
        <w:rPr>
          <w:rFonts w:hint="eastAsia" w:ascii="宋体" w:hAnsi="宋体"/>
          <w:b/>
          <w:color w:val="auto"/>
          <w:sz w:val="24"/>
          <w:szCs w:val="24"/>
          <w:highlight w:val="none"/>
        </w:rPr>
        <w:t>）</w:t>
      </w:r>
      <w:r>
        <w:rPr>
          <w:rFonts w:hint="eastAsia" w:ascii="宋体" w:hAnsi="宋体"/>
          <w:b/>
          <w:color w:val="auto"/>
          <w:sz w:val="24"/>
          <w:szCs w:val="24"/>
          <w:highlight w:val="none"/>
          <w:lang w:eastAsia="zh-CN"/>
        </w:rPr>
        <w:t>；</w:t>
      </w:r>
    </w:p>
    <w:p>
      <w:pPr>
        <w:numPr>
          <w:ilvl w:val="0"/>
          <w:numId w:val="16"/>
        </w:numPr>
        <w:tabs>
          <w:tab w:val="left" w:pos="420"/>
          <w:tab w:val="left" w:pos="945"/>
          <w:tab w:val="left" w:pos="1155"/>
        </w:tabs>
        <w:spacing w:line="360" w:lineRule="auto"/>
        <w:ind w:firstLine="480" w:firstLineChars="200"/>
        <w:rPr>
          <w:color w:val="auto"/>
          <w:highlight w:val="none"/>
        </w:rPr>
      </w:pPr>
      <w:r>
        <w:rPr>
          <w:rFonts w:hint="eastAsia" w:ascii="宋体" w:hAnsi="宋体"/>
          <w:bCs/>
          <w:color w:val="auto"/>
          <w:sz w:val="24"/>
          <w:szCs w:val="24"/>
          <w:highlight w:val="none"/>
          <w:lang w:val="en-US" w:eastAsia="zh-CN"/>
        </w:rPr>
        <w:t>投标保证金</w:t>
      </w:r>
      <w:r>
        <w:rPr>
          <w:rFonts w:hint="eastAsia" w:ascii="宋体" w:hAnsi="宋体"/>
          <w:bCs/>
          <w:color w:val="auto"/>
          <w:sz w:val="24"/>
          <w:szCs w:val="24"/>
          <w:highlight w:val="none"/>
          <w:lang w:val="zh-CN"/>
        </w:rPr>
        <w:t>交纳证明复印件（银行转账记录）</w:t>
      </w:r>
      <w:r>
        <w:rPr>
          <w:rFonts w:hint="eastAsia" w:ascii="宋体" w:hAnsi="宋体"/>
          <w:bCs/>
          <w:color w:val="auto"/>
          <w:sz w:val="24"/>
          <w:szCs w:val="24"/>
          <w:highlight w:val="none"/>
          <w:lang w:val="en-US" w:eastAsia="zh-CN"/>
        </w:rPr>
        <w:t>。</w:t>
      </w:r>
    </w:p>
    <w:p>
      <w:pPr>
        <w:jc w:val="center"/>
        <w:rPr>
          <w:rFonts w:ascii="宋体" w:hAnsi="宋体" w:eastAsia="宋体" w:cs="Times New Roman"/>
          <w:color w:val="auto"/>
          <w:sz w:val="24"/>
          <w:szCs w:val="21"/>
          <w:highlight w:val="none"/>
        </w:rPr>
      </w:pPr>
    </w:p>
    <w:p>
      <w:pPr>
        <w:jc w:val="center"/>
        <w:rPr>
          <w:rFonts w:ascii="宋体" w:hAnsi="宋体"/>
          <w:bCs/>
          <w:color w:val="auto"/>
          <w:sz w:val="24"/>
          <w:highlight w:val="none"/>
          <w:lang w:val="zh-CN"/>
        </w:rPr>
      </w:pPr>
      <w:r>
        <w:rPr>
          <w:rFonts w:hint="eastAsia" w:ascii="宋体" w:hAnsi="宋体"/>
          <w:bCs/>
          <w:color w:val="auto"/>
          <w:sz w:val="24"/>
          <w:highlight w:val="none"/>
          <w:lang w:val="zh-CN"/>
        </w:rPr>
        <w:t>投标人签名：</w:t>
      </w:r>
    </w:p>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投标人公章：</w:t>
      </w:r>
    </w:p>
    <w:p>
      <w:pPr>
        <w:ind w:firstLine="480" w:firstLineChars="200"/>
        <w:rPr>
          <w:rFonts w:ascii="黑体" w:hAnsi="宋体" w:eastAsia="黑体"/>
          <w:bCs/>
          <w:color w:val="auto"/>
          <w:sz w:val="24"/>
          <w:szCs w:val="24"/>
          <w:highlight w:val="none"/>
        </w:rPr>
      </w:pPr>
      <w:r>
        <w:rPr>
          <w:rFonts w:ascii="黑体" w:hAnsi="宋体" w:eastAsia="黑体"/>
          <w:bCs/>
          <w:color w:val="auto"/>
          <w:sz w:val="24"/>
          <w:szCs w:val="24"/>
          <w:highlight w:val="none"/>
        </w:rPr>
        <w:br w:type="page"/>
      </w:r>
      <w:bookmarkStart w:id="67" w:name="OLE_LINK11"/>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技术参数及相关要求偏离表</w:t>
      </w:r>
      <w:r>
        <w:rPr>
          <w:rFonts w:hint="eastAsia" w:ascii="黑体" w:hAnsi="宋体" w:eastAsia="黑体"/>
          <w:bCs/>
          <w:color w:val="auto"/>
          <w:sz w:val="24"/>
          <w:szCs w:val="24"/>
          <w:highlight w:val="none"/>
        </w:rPr>
        <w:t>（格式）：</w:t>
      </w:r>
    </w:p>
    <w:p>
      <w:pPr>
        <w:tabs>
          <w:tab w:val="left" w:pos="255"/>
        </w:tabs>
        <w:spacing w:beforeLines="50" w:afterLines="50" w:line="360" w:lineRule="auto"/>
        <w:jc w:val="center"/>
        <w:rPr>
          <w:rFonts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投标人名称（盖章）：               项目编号：YXGQ2025236  </w:t>
      </w:r>
    </w:p>
    <w:tbl>
      <w:tblPr>
        <w:tblStyle w:val="30"/>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序号</w:t>
            </w:r>
          </w:p>
        </w:tc>
        <w:tc>
          <w:tcPr>
            <w:tcW w:w="1973"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项目名称</w:t>
            </w:r>
          </w:p>
        </w:tc>
        <w:tc>
          <w:tcPr>
            <w:tcW w:w="2315"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招标内容</w:t>
            </w:r>
          </w:p>
        </w:tc>
        <w:tc>
          <w:tcPr>
            <w:tcW w:w="2327"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投标内容</w:t>
            </w:r>
          </w:p>
        </w:tc>
        <w:tc>
          <w:tcPr>
            <w:tcW w:w="1969"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bl>
    <w:p>
      <w:pPr>
        <w:spacing w:line="580" w:lineRule="exact"/>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注：投标人应对照招标文件“第四章项目技术要求和有关说明”的相关要求，将自身响应的偏离情况（与招标文件要求不一致的地方）详细填入上表，并注明“正偏离/负偏离”；若未填写上表，视为完全响应。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color w:val="auto"/>
          <w:sz w:val="24"/>
          <w:szCs w:val="21"/>
          <w:highlight w:val="none"/>
          <w:lang w:val="zh-CN"/>
        </w:rPr>
      </w:pPr>
    </w:p>
    <w:p>
      <w:pPr>
        <w:tabs>
          <w:tab w:val="left" w:pos="255"/>
        </w:tabs>
        <w:spacing w:line="360" w:lineRule="auto"/>
        <w:ind w:left="420" w:leftChars="200" w:firstLine="480" w:firstLineChars="200"/>
        <w:rPr>
          <w:rFonts w:ascii="宋体" w:hAnsi="宋体"/>
          <w:color w:val="auto"/>
          <w:sz w:val="24"/>
          <w:szCs w:val="21"/>
          <w:highlight w:val="none"/>
          <w:lang w:val="zh-CN"/>
        </w:rPr>
      </w:pPr>
      <w:r>
        <w:rPr>
          <w:rFonts w:hint="eastAsia" w:ascii="宋体" w:hAnsi="宋体"/>
          <w:color w:val="auto"/>
          <w:sz w:val="24"/>
          <w:szCs w:val="21"/>
          <w:highlight w:val="none"/>
          <w:lang w:val="zh-CN"/>
        </w:rPr>
        <w:t>投标人签名：                                    日期：</w:t>
      </w:r>
      <w:bookmarkEnd w:id="67"/>
    </w:p>
    <w:p>
      <w:pPr>
        <w:tabs>
          <w:tab w:val="left" w:pos="255"/>
        </w:tabs>
        <w:spacing w:line="360" w:lineRule="auto"/>
        <w:ind w:firstLine="480" w:firstLineChars="200"/>
        <w:jc w:val="left"/>
        <w:rPr>
          <w:rFonts w:ascii="宋体" w:hAnsi="宋体"/>
          <w:color w:val="auto"/>
          <w:sz w:val="24"/>
          <w:szCs w:val="21"/>
          <w:highlight w:val="none"/>
        </w:rPr>
      </w:pPr>
      <w:r>
        <w:rPr>
          <w:rFonts w:ascii="宋体" w:hAnsi="宋体"/>
          <w:color w:val="auto"/>
          <w:sz w:val="24"/>
          <w:szCs w:val="21"/>
          <w:highlight w:val="none"/>
        </w:rPr>
        <w:br w:type="page"/>
      </w:r>
    </w:p>
    <w:p>
      <w:pPr>
        <w:tabs>
          <w:tab w:val="left" w:pos="255"/>
        </w:tabs>
        <w:spacing w:line="360" w:lineRule="auto"/>
        <w:ind w:firstLine="480" w:firstLineChars="200"/>
        <w:jc w:val="left"/>
        <w:rPr>
          <w:rFonts w:ascii="黑体" w:hAnsi="宋体" w:eastAsia="黑体"/>
          <w:bCs/>
          <w:color w:val="auto"/>
          <w:sz w:val="24"/>
          <w:szCs w:val="24"/>
          <w:highlight w:val="none"/>
        </w:rPr>
      </w:pPr>
      <w:r>
        <w:rPr>
          <w:rFonts w:hint="eastAsia" w:ascii="黑体" w:hAnsi="宋体" w:eastAsia="黑体"/>
          <w:bCs/>
          <w:color w:val="auto"/>
          <w:sz w:val="24"/>
          <w:szCs w:val="24"/>
          <w:highlight w:val="none"/>
        </w:rPr>
        <w:t>(五)招标文件第四章“项目技术要求和有关说明”中要求提供的相关证明材料（如有自行添加）</w:t>
      </w: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宋体" w:hAnsi="宋体"/>
          <w:color w:val="auto"/>
          <w:sz w:val="24"/>
          <w:szCs w:val="21"/>
          <w:highlight w:val="none"/>
          <w:lang w:val="zh-CN"/>
        </w:rPr>
      </w:pPr>
      <w:r>
        <w:rPr>
          <w:rFonts w:hint="eastAsia" w:ascii="黑体" w:hAnsi="宋体" w:eastAsia="黑体"/>
          <w:bCs/>
          <w:color w:val="auto"/>
          <w:sz w:val="24"/>
          <w:szCs w:val="24"/>
          <w:highlight w:val="none"/>
        </w:rPr>
        <w:t>（六）</w:t>
      </w:r>
      <w:bookmarkStart w:id="68" w:name="OLE_LINK16"/>
      <w:r>
        <w:rPr>
          <w:rFonts w:hint="eastAsia" w:ascii="黑体" w:hAnsi="宋体" w:eastAsia="黑体"/>
          <w:bCs/>
          <w:color w:val="auto"/>
          <w:sz w:val="24"/>
          <w:szCs w:val="24"/>
          <w:highlight w:val="none"/>
        </w:rPr>
        <w:t>技术商务部分评分导读表</w:t>
      </w:r>
      <w:bookmarkEnd w:id="68"/>
      <w:r>
        <w:rPr>
          <w:rFonts w:hint="eastAsia" w:ascii="黑体" w:hAnsi="宋体" w:eastAsia="黑体"/>
          <w:bCs/>
          <w:color w:val="auto"/>
          <w:sz w:val="24"/>
          <w:szCs w:val="24"/>
          <w:highlight w:val="none"/>
        </w:rPr>
        <w:t>（格式）：</w:t>
      </w:r>
    </w:p>
    <w:p>
      <w:pPr>
        <w:tabs>
          <w:tab w:val="left" w:pos="255"/>
        </w:tabs>
        <w:spacing w:beforeLines="50" w:afterLines="50" w:line="360" w:lineRule="auto"/>
        <w:jc w:val="center"/>
        <w:rPr>
          <w:rFonts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 xml:space="preserve"> 技术商务部分评分导读表</w:t>
      </w:r>
    </w:p>
    <w:p>
      <w:pPr>
        <w:tabs>
          <w:tab w:val="left" w:pos="255"/>
        </w:tabs>
        <w:spacing w:beforeLines="50" w:afterLines="50" w:line="360" w:lineRule="auto"/>
        <w:ind w:left="420" w:leftChars="200" w:firstLine="480" w:firstLineChars="200"/>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投标人名称（盖章）：               项目编号：YXGQ2025236  </w:t>
      </w:r>
    </w:p>
    <w:tbl>
      <w:tblPr>
        <w:tblStyle w:val="30"/>
        <w:tblW w:w="98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5040"/>
        <w:gridCol w:w="1404"/>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响应情况</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投标文件对应页码</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1</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r>
    </w:tbl>
    <w:p>
      <w:pPr>
        <w:spacing w:line="580" w:lineRule="exact"/>
        <w:ind w:firstLine="480" w:firstLineChars="200"/>
        <w:rPr>
          <w:rFonts w:ascii="宋体" w:hAnsi="宋体"/>
          <w:bCs/>
          <w:color w:val="auto"/>
          <w:sz w:val="24"/>
          <w:szCs w:val="24"/>
          <w:highlight w:val="none"/>
          <w:lang w:val="zh-CN"/>
        </w:rPr>
      </w:pPr>
    </w:p>
    <w:p>
      <w:pPr>
        <w:spacing w:line="580" w:lineRule="exact"/>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注：投标人应对照招标文件“第三章评标方法和标准”的相关要求，根据自身响应情况填写上表；并在“</w:t>
      </w:r>
      <w:r>
        <w:rPr>
          <w:rFonts w:hint="eastAsia" w:ascii="宋体" w:hAnsi="宋体"/>
          <w:color w:val="auto"/>
          <w:sz w:val="24"/>
          <w:szCs w:val="24"/>
          <w:highlight w:val="none"/>
        </w:rPr>
        <w:t>响应情况</w:t>
      </w:r>
      <w:r>
        <w:rPr>
          <w:rFonts w:hint="eastAsia" w:ascii="宋体" w:hAnsi="宋体"/>
          <w:bCs/>
          <w:color w:val="auto"/>
          <w:sz w:val="24"/>
          <w:szCs w:val="24"/>
          <w:highlight w:val="none"/>
          <w:lang w:val="zh-CN"/>
        </w:rPr>
        <w:t>”栏填入所提供的证明材料清单，</w:t>
      </w:r>
      <w:r>
        <w:rPr>
          <w:rFonts w:hint="eastAsia" w:ascii="宋体" w:hAnsi="宋体"/>
          <w:bCs/>
          <w:color w:val="auto"/>
          <w:sz w:val="24"/>
          <w:szCs w:val="24"/>
          <w:highlight w:val="none"/>
        </w:rPr>
        <w:t>没有证明材料的此栏填“无”</w:t>
      </w:r>
      <w:r>
        <w:rPr>
          <w:rFonts w:hint="eastAsia" w:ascii="宋体" w:hAnsi="宋体"/>
          <w:bCs/>
          <w:color w:val="auto"/>
          <w:sz w:val="24"/>
          <w:szCs w:val="24"/>
          <w:highlight w:val="none"/>
          <w:lang w:val="zh-CN"/>
        </w:rPr>
        <w:t>。</w:t>
      </w:r>
    </w:p>
    <w:p>
      <w:pPr>
        <w:tabs>
          <w:tab w:val="left" w:pos="255"/>
        </w:tabs>
        <w:spacing w:line="360" w:lineRule="auto"/>
        <w:ind w:left="420" w:leftChars="200" w:firstLine="480" w:firstLineChars="200"/>
        <w:rPr>
          <w:rFonts w:ascii="宋体" w:hAnsi="宋体"/>
          <w:color w:val="auto"/>
          <w:sz w:val="24"/>
          <w:szCs w:val="21"/>
          <w:highlight w:val="none"/>
          <w:lang w:val="zh-CN"/>
        </w:rPr>
      </w:pPr>
    </w:p>
    <w:p>
      <w:pPr>
        <w:jc w:val="center"/>
        <w:rPr>
          <w:rFonts w:ascii="黑体" w:hAnsi="宋体" w:eastAsia="黑体"/>
          <w:color w:val="auto"/>
          <w:sz w:val="32"/>
          <w:szCs w:val="32"/>
          <w:highlight w:val="none"/>
        </w:rPr>
      </w:pPr>
      <w:r>
        <w:rPr>
          <w:rFonts w:hint="eastAsia" w:ascii="宋体" w:hAnsi="宋体"/>
          <w:color w:val="auto"/>
          <w:sz w:val="24"/>
          <w:szCs w:val="21"/>
          <w:highlight w:val="none"/>
          <w:lang w:val="zh-CN"/>
        </w:rPr>
        <w:t>投标人签名：                                    日期：</w:t>
      </w: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0"/>
        </w:tabs>
        <w:spacing w:line="360" w:lineRule="auto"/>
        <w:rPr>
          <w:rFonts w:ascii="宋体" w:hAnsi="宋体"/>
          <w:b/>
          <w:bCs/>
          <w:color w:val="auto"/>
          <w:sz w:val="24"/>
          <w:szCs w:val="24"/>
          <w:highlight w:val="none"/>
          <w:lang w:val="zh-CN"/>
        </w:rPr>
      </w:pP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七</w:t>
      </w:r>
      <w:r>
        <w:rPr>
          <w:rFonts w:hint="eastAsia" w:ascii="宋体" w:hAnsi="宋体"/>
          <w:b/>
          <w:bCs/>
          <w:color w:val="auto"/>
          <w:sz w:val="24"/>
          <w:szCs w:val="24"/>
          <w:highlight w:val="none"/>
        </w:rPr>
        <w:t>）要求采购人提供的配合（如有自拟并自行添加）</w:t>
      </w: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r>
        <w:rPr>
          <w:rFonts w:hint="eastAsia" w:ascii="宋体" w:hAnsi="宋体"/>
          <w:b/>
          <w:bCs/>
          <w:color w:val="auto"/>
          <w:sz w:val="24"/>
          <w:szCs w:val="24"/>
          <w:highlight w:val="none"/>
          <w:lang w:val="zh-CN"/>
        </w:rPr>
        <w:t>（</w:t>
      </w:r>
      <w:r>
        <w:rPr>
          <w:rFonts w:hint="eastAsia" w:ascii="宋体" w:hAnsi="宋体"/>
          <w:b/>
          <w:bCs/>
          <w:color w:val="auto"/>
          <w:sz w:val="24"/>
          <w:szCs w:val="24"/>
          <w:highlight w:val="none"/>
        </w:rPr>
        <w:t>九</w:t>
      </w:r>
      <w:r>
        <w:rPr>
          <w:rFonts w:hint="eastAsia" w:ascii="宋体" w:hAnsi="宋体"/>
          <w:b/>
          <w:bCs/>
          <w:color w:val="auto"/>
          <w:sz w:val="24"/>
          <w:szCs w:val="24"/>
          <w:highlight w:val="none"/>
          <w:lang w:val="zh-CN"/>
        </w:rPr>
        <w:t>）其他（投标人认为有必要提供的声明和文件，</w:t>
      </w:r>
      <w:r>
        <w:rPr>
          <w:rFonts w:hint="eastAsia" w:ascii="宋体" w:hAnsi="宋体"/>
          <w:b/>
          <w:bCs/>
          <w:color w:val="auto"/>
          <w:sz w:val="24"/>
          <w:szCs w:val="24"/>
          <w:highlight w:val="none"/>
        </w:rPr>
        <w:t>如有自拟并自行添加）</w:t>
      </w:r>
    </w:p>
    <w:p>
      <w:pPr>
        <w:jc w:val="center"/>
        <w:rPr>
          <w:rFonts w:ascii="宋体" w:hAnsi="宋体" w:eastAsia="宋体" w:cs="Times New Roman"/>
          <w:color w:val="auto"/>
          <w:sz w:val="24"/>
          <w:szCs w:val="21"/>
          <w:highlight w:val="none"/>
          <w:lang w:val="zh-CN"/>
        </w:rPr>
      </w:pPr>
    </w:p>
    <w:sectPr>
      <w:footerReference r:id="rId12" w:type="default"/>
      <w:pgSz w:w="11907" w:h="16840"/>
      <w:pgMar w:top="1134" w:right="1134" w:bottom="1134" w:left="1134"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1"/>
    </w:sdtPr>
    <w:sdtContent>
      <w:p>
        <w:pPr>
          <w:pStyle w:val="18"/>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 PAGE   \* MERGEFORMAT </w:instrText>
    </w:r>
    <w:r>
      <w:fldChar w:fldCharType="separate"/>
    </w:r>
    <w:r>
      <w:rPr>
        <w:lang w:val="zh-CN"/>
      </w:rPr>
      <w:t>-</w:t>
    </w:r>
    <w:r>
      <w:t xml:space="preserve"> 1 -</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pPr>
          <w:pStyle w:val="18"/>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043120"/>
    </w:sdtPr>
    <w:sdtContent>
      <w:p>
        <w:pPr>
          <w:pStyle w:val="18"/>
          <w:jc w:val="center"/>
        </w:pPr>
        <w:r>
          <w:fldChar w:fldCharType="begin"/>
        </w:r>
        <w:r>
          <w:instrText xml:space="preserve">PAGE   \* MERGEFORMAT</w:instrText>
        </w:r>
        <w:r>
          <w:fldChar w:fldCharType="separate"/>
        </w:r>
        <w:r>
          <w:rPr>
            <w:lang w:val="zh-CN"/>
          </w:rPr>
          <w:t>25</w:t>
        </w:r>
        <w:r>
          <w:fldChar w:fldCharType="end"/>
        </w:r>
      </w:p>
    </w:sdtContent>
  </w:sdt>
  <w:p>
    <w:pPr>
      <w:pStyle w:val="1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Align="top"/>
    </w:pPr>
    <w:r>
      <w:fldChar w:fldCharType="begin"/>
    </w:r>
    <w:r>
      <w:rPr>
        <w:rStyle w:val="26"/>
      </w:rPr>
      <w:instrText xml:space="preserve"> PAGE  </w:instrText>
    </w:r>
    <w:r>
      <w:fldChar w:fldCharType="separate"/>
    </w:r>
    <w:r>
      <w:rPr>
        <w:rStyle w:val="26"/>
      </w:rPr>
      <w:t>20</w:t>
    </w:r>
    <w:r>
      <w:fldChar w:fldCharType="end"/>
    </w:r>
  </w:p>
  <w:p>
    <w:pPr>
      <w:pStyle w:val="1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wps:txbx>
                    <wps:bodyPr wrap="none" lIns="0" tIns="0" rIns="0" bIns="0" upright="1">
                      <a:spAutoFit/>
                    </wps:bodyPr>
                  </wps:wsp>
                </a:graphicData>
              </a:graphic>
            </wp:anchor>
          </w:drawing>
        </mc:Choice>
        <mc:Fallback>
          <w:pict>
            <v:shape id="文本框 307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AZms87IB&#10;AABOAwAADgAAAAAAAAABACAAAAAeAQAAZHJzL2Uyb0RvYy54bWxQSwUGAAAAAAYABgBZAQAAQgUA&#10;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tabs>
        <w:tab w:val="left" w:pos="6769"/>
        <w:tab w:val="clear" w:pos="8306"/>
      </w:tabs>
      <w:jc w:val="left"/>
      <w:rPr>
        <w:rFonts w:hint="eastAsia" w:eastAsiaTheme="minorEastAsia"/>
        <w:lang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jc w:val="both"/>
                            <w:rPr>
                              <w:rFonts w:hint="eastAsia" w:eastAsiaTheme="minorEastAsia"/>
                              <w:lang w:eastAsia="zh-CN"/>
                            </w:rPr>
                          </w:pP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j3UZVrgEAAEsD&#10;AAAOAAAAAAAAAAEAIAAAAB4BAABkcnMvZTJvRG9jLnhtbFBLBQYAAAAABgAGAFkBAAA+BQAAAAA=&#10;">
              <v:fill on="f" focussize="0,0"/>
              <v:stroke on="f"/>
              <v:imagedata o:title=""/>
              <o:lock v:ext="edit" aspectratio="f"/>
              <v:textbox inset="0mm,0mm,0mm,0mm" style="mso-fit-shape-to-text:t;">
                <w:txbxContent>
                  <w:p>
                    <w:pPr>
                      <w:pStyle w:val="19"/>
                      <w:jc w:val="both"/>
                      <w:rPr>
                        <w:rFonts w:hint="eastAsia" w:eastAsiaTheme="minorEastAsia"/>
                        <w:lang w:eastAsia="zh-CN"/>
                      </w:rPr>
                    </w:pPr>
                  </w:p>
                </w:txbxContent>
              </v:textbox>
            </v:shape>
          </w:pict>
        </mc:Fallback>
      </mc:AlternateContent>
    </w: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C10871"/>
    <w:multiLevelType w:val="singleLevel"/>
    <w:tmpl w:val="F9C10871"/>
    <w:lvl w:ilvl="0" w:tentative="0">
      <w:start w:val="2"/>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5">
    <w:nsid w:val="296D67D5"/>
    <w:multiLevelType w:val="multilevel"/>
    <w:tmpl w:val="296D67D5"/>
    <w:lvl w:ilvl="0" w:tentative="0">
      <w:start w:val="6"/>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7">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8">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0">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1">
    <w:nsid w:val="59C3118D"/>
    <w:multiLevelType w:val="singleLevel"/>
    <w:tmpl w:val="59C3118D"/>
    <w:lvl w:ilvl="0" w:tentative="0">
      <w:start w:val="1"/>
      <w:numFmt w:val="decimal"/>
      <w:suff w:val="nothing"/>
      <w:lvlText w:val="（%1）"/>
      <w:lvlJc w:val="left"/>
      <w:pPr>
        <w:ind w:left="0" w:firstLine="420"/>
      </w:pPr>
      <w:rPr>
        <w:rFonts w:hint="default"/>
        <w:lang w:val="en-US"/>
      </w:rPr>
    </w:lvl>
  </w:abstractNum>
  <w:abstractNum w:abstractNumId="12">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13">
    <w:nsid w:val="5E9B36A4"/>
    <w:multiLevelType w:val="multilevel"/>
    <w:tmpl w:val="5E9B36A4"/>
    <w:lvl w:ilvl="0" w:tentative="0">
      <w:start w:val="23"/>
      <w:numFmt w:val="decimal"/>
      <w:lvlText w:val="%1、"/>
      <w:lvlJc w:val="left"/>
      <w:pPr>
        <w:ind w:left="945" w:hanging="52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65485122"/>
    <w:multiLevelType w:val="multilevel"/>
    <w:tmpl w:val="65485122"/>
    <w:lvl w:ilvl="0" w:tentative="0">
      <w:start w:val="1"/>
      <w:numFmt w:val="decimal"/>
      <w:lvlText w:val="%1"/>
      <w:lvlJc w:val="left"/>
      <w:pPr>
        <w:ind w:left="360" w:hanging="360"/>
      </w:pPr>
      <w:rPr>
        <w:rFonts w:hint="default"/>
      </w:rPr>
    </w:lvl>
    <w:lvl w:ilvl="1" w:tentative="0">
      <w:start w:val="5"/>
      <w:numFmt w:val="decimal"/>
      <w:lvlText w:val="%1.%2"/>
      <w:lvlJc w:val="left"/>
      <w:pPr>
        <w:ind w:left="1200" w:hanging="72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360" w:hanging="144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520" w:hanging="2160"/>
      </w:pPr>
      <w:rPr>
        <w:rFonts w:hint="default"/>
      </w:rPr>
    </w:lvl>
    <w:lvl w:ilvl="8" w:tentative="0">
      <w:start w:val="1"/>
      <w:numFmt w:val="decimal"/>
      <w:lvlText w:val="%1.%2.%3.%4.%5.%6.%7.%8.%9"/>
      <w:lvlJc w:val="left"/>
      <w:pPr>
        <w:ind w:left="6000" w:hanging="2160"/>
      </w:pPr>
      <w:rPr>
        <w:rFonts w:hint="default"/>
      </w:rPr>
    </w:lvl>
  </w:abstractNum>
  <w:abstractNum w:abstractNumId="15">
    <w:nsid w:val="79271614"/>
    <w:multiLevelType w:val="singleLevel"/>
    <w:tmpl w:val="79271614"/>
    <w:lvl w:ilvl="0" w:tentative="0">
      <w:start w:val="1"/>
      <w:numFmt w:val="decimalEnclosedCircleChinese"/>
      <w:suff w:val="nothing"/>
      <w:lvlText w:val="%1　"/>
      <w:lvlJc w:val="left"/>
      <w:pPr>
        <w:ind w:left="26" w:firstLine="400"/>
      </w:pPr>
      <w:rPr>
        <w:rFonts w:hint="eastAsia"/>
      </w:rPr>
    </w:lvl>
  </w:abstractNum>
  <w:num w:numId="1">
    <w:abstractNumId w:val="14"/>
  </w:num>
  <w:num w:numId="2">
    <w:abstractNumId w:val="12"/>
  </w:num>
  <w:num w:numId="3">
    <w:abstractNumId w:val="6"/>
  </w:num>
  <w:num w:numId="4">
    <w:abstractNumId w:val="7"/>
  </w:num>
  <w:num w:numId="5">
    <w:abstractNumId w:val="3"/>
  </w:num>
  <w:num w:numId="6">
    <w:abstractNumId w:val="10"/>
  </w:num>
  <w:num w:numId="7">
    <w:abstractNumId w:val="8"/>
  </w:num>
  <w:num w:numId="8">
    <w:abstractNumId w:val="9"/>
  </w:num>
  <w:num w:numId="9">
    <w:abstractNumId w:val="1"/>
  </w:num>
  <w:num w:numId="10">
    <w:abstractNumId w:val="4"/>
  </w:num>
  <w:num w:numId="11">
    <w:abstractNumId w:val="5"/>
  </w:num>
  <w:num w:numId="12">
    <w:abstractNumId w:val="13"/>
  </w:num>
  <w:num w:numId="13">
    <w:abstractNumId w:val="11"/>
  </w:num>
  <w:num w:numId="14">
    <w:abstractNumId w:val="0"/>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NDNiY2Q4MzJlYTg5MmZmMTk0MDBhYmVkZjYwOTkifQ=="/>
  </w:docVars>
  <w:rsids>
    <w:rsidRoot w:val="00B03A14"/>
    <w:rsid w:val="0000230C"/>
    <w:rsid w:val="000034CF"/>
    <w:rsid w:val="0000364F"/>
    <w:rsid w:val="00003749"/>
    <w:rsid w:val="000057D9"/>
    <w:rsid w:val="000069E6"/>
    <w:rsid w:val="00007138"/>
    <w:rsid w:val="00007C88"/>
    <w:rsid w:val="000270F2"/>
    <w:rsid w:val="00030954"/>
    <w:rsid w:val="00031420"/>
    <w:rsid w:val="00031564"/>
    <w:rsid w:val="00033535"/>
    <w:rsid w:val="0003725E"/>
    <w:rsid w:val="00037AC4"/>
    <w:rsid w:val="000402EE"/>
    <w:rsid w:val="000459A8"/>
    <w:rsid w:val="00046461"/>
    <w:rsid w:val="00047239"/>
    <w:rsid w:val="00047430"/>
    <w:rsid w:val="00047743"/>
    <w:rsid w:val="0006506C"/>
    <w:rsid w:val="0006629F"/>
    <w:rsid w:val="00070EAE"/>
    <w:rsid w:val="00070F2E"/>
    <w:rsid w:val="00071268"/>
    <w:rsid w:val="00073CCA"/>
    <w:rsid w:val="00074D4A"/>
    <w:rsid w:val="00077B03"/>
    <w:rsid w:val="000876D5"/>
    <w:rsid w:val="00092266"/>
    <w:rsid w:val="00093A5A"/>
    <w:rsid w:val="000956E9"/>
    <w:rsid w:val="000975CD"/>
    <w:rsid w:val="000A5147"/>
    <w:rsid w:val="000A63CE"/>
    <w:rsid w:val="000B1CE7"/>
    <w:rsid w:val="000B4C70"/>
    <w:rsid w:val="000B7EB4"/>
    <w:rsid w:val="000C1832"/>
    <w:rsid w:val="000C69C5"/>
    <w:rsid w:val="000C7EBF"/>
    <w:rsid w:val="000D3523"/>
    <w:rsid w:val="000D3A8A"/>
    <w:rsid w:val="000D3B9A"/>
    <w:rsid w:val="000D41AC"/>
    <w:rsid w:val="000E0284"/>
    <w:rsid w:val="000E1F0D"/>
    <w:rsid w:val="000E65C5"/>
    <w:rsid w:val="000E771A"/>
    <w:rsid w:val="000F0A1D"/>
    <w:rsid w:val="000F2AC6"/>
    <w:rsid w:val="000F414D"/>
    <w:rsid w:val="000F4432"/>
    <w:rsid w:val="000F4DF8"/>
    <w:rsid w:val="000F56B3"/>
    <w:rsid w:val="000F5B6F"/>
    <w:rsid w:val="000F6B59"/>
    <w:rsid w:val="00100405"/>
    <w:rsid w:val="00105A01"/>
    <w:rsid w:val="00105A57"/>
    <w:rsid w:val="00106C5A"/>
    <w:rsid w:val="00112938"/>
    <w:rsid w:val="00115B8A"/>
    <w:rsid w:val="00117A3B"/>
    <w:rsid w:val="00124DAC"/>
    <w:rsid w:val="00125E68"/>
    <w:rsid w:val="001265C7"/>
    <w:rsid w:val="00126748"/>
    <w:rsid w:val="00130CAF"/>
    <w:rsid w:val="00133785"/>
    <w:rsid w:val="0013504C"/>
    <w:rsid w:val="001405AB"/>
    <w:rsid w:val="00142EDF"/>
    <w:rsid w:val="001475C9"/>
    <w:rsid w:val="00152544"/>
    <w:rsid w:val="00156417"/>
    <w:rsid w:val="001654B4"/>
    <w:rsid w:val="00165841"/>
    <w:rsid w:val="00176D71"/>
    <w:rsid w:val="00196AF9"/>
    <w:rsid w:val="00196D5A"/>
    <w:rsid w:val="001A4B36"/>
    <w:rsid w:val="001B544A"/>
    <w:rsid w:val="001B7BDC"/>
    <w:rsid w:val="001C3C4B"/>
    <w:rsid w:val="001D69DC"/>
    <w:rsid w:val="001E25DE"/>
    <w:rsid w:val="001E3858"/>
    <w:rsid w:val="001F2C62"/>
    <w:rsid w:val="001F64DA"/>
    <w:rsid w:val="0020521F"/>
    <w:rsid w:val="00206C0A"/>
    <w:rsid w:val="0020700C"/>
    <w:rsid w:val="002102B0"/>
    <w:rsid w:val="00211B02"/>
    <w:rsid w:val="00212725"/>
    <w:rsid w:val="00213A7A"/>
    <w:rsid w:val="00216BF7"/>
    <w:rsid w:val="0022382C"/>
    <w:rsid w:val="00227B7A"/>
    <w:rsid w:val="002310AA"/>
    <w:rsid w:val="002413AE"/>
    <w:rsid w:val="00246A98"/>
    <w:rsid w:val="0025094B"/>
    <w:rsid w:val="0025160F"/>
    <w:rsid w:val="00255A6A"/>
    <w:rsid w:val="00261C14"/>
    <w:rsid w:val="002647D5"/>
    <w:rsid w:val="00265C6E"/>
    <w:rsid w:val="0026697F"/>
    <w:rsid w:val="00270C0F"/>
    <w:rsid w:val="002718AB"/>
    <w:rsid w:val="00271C1A"/>
    <w:rsid w:val="00272FD6"/>
    <w:rsid w:val="0028001E"/>
    <w:rsid w:val="00281308"/>
    <w:rsid w:val="00283A8F"/>
    <w:rsid w:val="00287669"/>
    <w:rsid w:val="00294869"/>
    <w:rsid w:val="00295299"/>
    <w:rsid w:val="002A353F"/>
    <w:rsid w:val="002B0AE3"/>
    <w:rsid w:val="002B4DF5"/>
    <w:rsid w:val="002B67CA"/>
    <w:rsid w:val="002C2391"/>
    <w:rsid w:val="002C6A33"/>
    <w:rsid w:val="002D4811"/>
    <w:rsid w:val="002D6F43"/>
    <w:rsid w:val="002E2B80"/>
    <w:rsid w:val="002F0D7D"/>
    <w:rsid w:val="002F19FF"/>
    <w:rsid w:val="002F3E4D"/>
    <w:rsid w:val="002F48D9"/>
    <w:rsid w:val="00300543"/>
    <w:rsid w:val="00304EC9"/>
    <w:rsid w:val="003120EA"/>
    <w:rsid w:val="00313190"/>
    <w:rsid w:val="00315064"/>
    <w:rsid w:val="003217A2"/>
    <w:rsid w:val="00323289"/>
    <w:rsid w:val="003315C5"/>
    <w:rsid w:val="00334ED1"/>
    <w:rsid w:val="00341635"/>
    <w:rsid w:val="00346143"/>
    <w:rsid w:val="00347A54"/>
    <w:rsid w:val="00351435"/>
    <w:rsid w:val="00352364"/>
    <w:rsid w:val="00361462"/>
    <w:rsid w:val="00362841"/>
    <w:rsid w:val="00362C89"/>
    <w:rsid w:val="0036530C"/>
    <w:rsid w:val="00365B36"/>
    <w:rsid w:val="00386F40"/>
    <w:rsid w:val="003920B4"/>
    <w:rsid w:val="003A0CEC"/>
    <w:rsid w:val="003B672E"/>
    <w:rsid w:val="003D0FCF"/>
    <w:rsid w:val="003D19E1"/>
    <w:rsid w:val="003D1D67"/>
    <w:rsid w:val="003D2307"/>
    <w:rsid w:val="003E1FDE"/>
    <w:rsid w:val="003E46F4"/>
    <w:rsid w:val="003F0E48"/>
    <w:rsid w:val="0040236B"/>
    <w:rsid w:val="0040406C"/>
    <w:rsid w:val="00404D5C"/>
    <w:rsid w:val="004116F0"/>
    <w:rsid w:val="004134F2"/>
    <w:rsid w:val="00415CC9"/>
    <w:rsid w:val="00423880"/>
    <w:rsid w:val="00424BF7"/>
    <w:rsid w:val="00433D8F"/>
    <w:rsid w:val="004343BE"/>
    <w:rsid w:val="00440627"/>
    <w:rsid w:val="00443AF0"/>
    <w:rsid w:val="00454676"/>
    <w:rsid w:val="00460B80"/>
    <w:rsid w:val="00464E75"/>
    <w:rsid w:val="004663A5"/>
    <w:rsid w:val="0047078F"/>
    <w:rsid w:val="00470847"/>
    <w:rsid w:val="00471D91"/>
    <w:rsid w:val="0047319B"/>
    <w:rsid w:val="00473971"/>
    <w:rsid w:val="00474450"/>
    <w:rsid w:val="004762B4"/>
    <w:rsid w:val="00491859"/>
    <w:rsid w:val="00492AEC"/>
    <w:rsid w:val="00492AED"/>
    <w:rsid w:val="004948D5"/>
    <w:rsid w:val="004B057D"/>
    <w:rsid w:val="004B11AA"/>
    <w:rsid w:val="004B231B"/>
    <w:rsid w:val="004B68EA"/>
    <w:rsid w:val="004B76F4"/>
    <w:rsid w:val="004B7DA1"/>
    <w:rsid w:val="004C337E"/>
    <w:rsid w:val="004C5850"/>
    <w:rsid w:val="004C67D0"/>
    <w:rsid w:val="004C6D22"/>
    <w:rsid w:val="004C7A0A"/>
    <w:rsid w:val="004D257A"/>
    <w:rsid w:val="004D3277"/>
    <w:rsid w:val="004E026D"/>
    <w:rsid w:val="004E251A"/>
    <w:rsid w:val="004E50E3"/>
    <w:rsid w:val="004E6F5A"/>
    <w:rsid w:val="004F2D43"/>
    <w:rsid w:val="004F4131"/>
    <w:rsid w:val="005171C8"/>
    <w:rsid w:val="005234C8"/>
    <w:rsid w:val="005239D0"/>
    <w:rsid w:val="00526C03"/>
    <w:rsid w:val="00530A20"/>
    <w:rsid w:val="005426D0"/>
    <w:rsid w:val="00546AF5"/>
    <w:rsid w:val="0055017A"/>
    <w:rsid w:val="005510B1"/>
    <w:rsid w:val="00551FFF"/>
    <w:rsid w:val="0055258A"/>
    <w:rsid w:val="0055432D"/>
    <w:rsid w:val="00555974"/>
    <w:rsid w:val="00563492"/>
    <w:rsid w:val="005638FD"/>
    <w:rsid w:val="005642FC"/>
    <w:rsid w:val="00566BFF"/>
    <w:rsid w:val="00575AA1"/>
    <w:rsid w:val="005806AC"/>
    <w:rsid w:val="00580CF4"/>
    <w:rsid w:val="0058112F"/>
    <w:rsid w:val="005818B1"/>
    <w:rsid w:val="00582E87"/>
    <w:rsid w:val="005836B9"/>
    <w:rsid w:val="0058722C"/>
    <w:rsid w:val="005879CA"/>
    <w:rsid w:val="005936AE"/>
    <w:rsid w:val="00594F63"/>
    <w:rsid w:val="005A6A09"/>
    <w:rsid w:val="005B0E50"/>
    <w:rsid w:val="005C19EE"/>
    <w:rsid w:val="005D1373"/>
    <w:rsid w:val="005D74B5"/>
    <w:rsid w:val="005E06D0"/>
    <w:rsid w:val="005E7A4F"/>
    <w:rsid w:val="005F12F2"/>
    <w:rsid w:val="005F29E7"/>
    <w:rsid w:val="005F780B"/>
    <w:rsid w:val="00602B50"/>
    <w:rsid w:val="006149C1"/>
    <w:rsid w:val="0061763B"/>
    <w:rsid w:val="00630225"/>
    <w:rsid w:val="00635C77"/>
    <w:rsid w:val="00637475"/>
    <w:rsid w:val="0066262B"/>
    <w:rsid w:val="006646EC"/>
    <w:rsid w:val="006665AF"/>
    <w:rsid w:val="00667B7A"/>
    <w:rsid w:val="00672BD8"/>
    <w:rsid w:val="00673495"/>
    <w:rsid w:val="0067355B"/>
    <w:rsid w:val="00675F40"/>
    <w:rsid w:val="00683E61"/>
    <w:rsid w:val="006845F5"/>
    <w:rsid w:val="00684CEE"/>
    <w:rsid w:val="00686DB1"/>
    <w:rsid w:val="00691851"/>
    <w:rsid w:val="00692B5B"/>
    <w:rsid w:val="006951FD"/>
    <w:rsid w:val="006955D6"/>
    <w:rsid w:val="006A26CA"/>
    <w:rsid w:val="006A48FC"/>
    <w:rsid w:val="006A6F6E"/>
    <w:rsid w:val="006B34B8"/>
    <w:rsid w:val="006B533C"/>
    <w:rsid w:val="006B70F5"/>
    <w:rsid w:val="006C37BC"/>
    <w:rsid w:val="006C3A2A"/>
    <w:rsid w:val="006D0733"/>
    <w:rsid w:val="006D4078"/>
    <w:rsid w:val="006D7392"/>
    <w:rsid w:val="006E0E25"/>
    <w:rsid w:val="006E116E"/>
    <w:rsid w:val="006E5487"/>
    <w:rsid w:val="006E593C"/>
    <w:rsid w:val="006E5E74"/>
    <w:rsid w:val="006E64D5"/>
    <w:rsid w:val="006E6C80"/>
    <w:rsid w:val="006E7A81"/>
    <w:rsid w:val="006F05F2"/>
    <w:rsid w:val="006F5676"/>
    <w:rsid w:val="006F588B"/>
    <w:rsid w:val="00700883"/>
    <w:rsid w:val="00702A19"/>
    <w:rsid w:val="0070710F"/>
    <w:rsid w:val="00715326"/>
    <w:rsid w:val="00716746"/>
    <w:rsid w:val="007210D0"/>
    <w:rsid w:val="007225CF"/>
    <w:rsid w:val="00734A61"/>
    <w:rsid w:val="007363D8"/>
    <w:rsid w:val="00742BA9"/>
    <w:rsid w:val="00746763"/>
    <w:rsid w:val="007479A4"/>
    <w:rsid w:val="0075475E"/>
    <w:rsid w:val="007557AD"/>
    <w:rsid w:val="007560A2"/>
    <w:rsid w:val="00761E24"/>
    <w:rsid w:val="00762B9E"/>
    <w:rsid w:val="00763018"/>
    <w:rsid w:val="00764329"/>
    <w:rsid w:val="0077304E"/>
    <w:rsid w:val="007759DC"/>
    <w:rsid w:val="00777516"/>
    <w:rsid w:val="0078053C"/>
    <w:rsid w:val="00783242"/>
    <w:rsid w:val="00790AE2"/>
    <w:rsid w:val="00791390"/>
    <w:rsid w:val="00792379"/>
    <w:rsid w:val="00797EAB"/>
    <w:rsid w:val="007A11CD"/>
    <w:rsid w:val="007A4AED"/>
    <w:rsid w:val="007A6639"/>
    <w:rsid w:val="007B1BA6"/>
    <w:rsid w:val="007C35D5"/>
    <w:rsid w:val="007D0642"/>
    <w:rsid w:val="007D57F0"/>
    <w:rsid w:val="007D7320"/>
    <w:rsid w:val="007E29BA"/>
    <w:rsid w:val="007F40B6"/>
    <w:rsid w:val="007F53DB"/>
    <w:rsid w:val="007F67F0"/>
    <w:rsid w:val="00810ED9"/>
    <w:rsid w:val="00812098"/>
    <w:rsid w:val="00815FF3"/>
    <w:rsid w:val="00821B74"/>
    <w:rsid w:val="0082418E"/>
    <w:rsid w:val="00824C6D"/>
    <w:rsid w:val="00826F97"/>
    <w:rsid w:val="0085107D"/>
    <w:rsid w:val="00864286"/>
    <w:rsid w:val="00865D99"/>
    <w:rsid w:val="00874F92"/>
    <w:rsid w:val="00877B9D"/>
    <w:rsid w:val="00884EF7"/>
    <w:rsid w:val="00885FA6"/>
    <w:rsid w:val="0089015A"/>
    <w:rsid w:val="00897165"/>
    <w:rsid w:val="00897423"/>
    <w:rsid w:val="008B036A"/>
    <w:rsid w:val="008B1FFB"/>
    <w:rsid w:val="008B460F"/>
    <w:rsid w:val="008B6AA3"/>
    <w:rsid w:val="008B7BA4"/>
    <w:rsid w:val="008C3A69"/>
    <w:rsid w:val="008D2731"/>
    <w:rsid w:val="008D2A3D"/>
    <w:rsid w:val="008E00D0"/>
    <w:rsid w:val="008E14B8"/>
    <w:rsid w:val="008E4133"/>
    <w:rsid w:val="008F3CC7"/>
    <w:rsid w:val="009029BB"/>
    <w:rsid w:val="00903D2E"/>
    <w:rsid w:val="00910843"/>
    <w:rsid w:val="00914D50"/>
    <w:rsid w:val="00922009"/>
    <w:rsid w:val="00925A45"/>
    <w:rsid w:val="00925DF8"/>
    <w:rsid w:val="009262A9"/>
    <w:rsid w:val="00926A89"/>
    <w:rsid w:val="00936C14"/>
    <w:rsid w:val="00936D5F"/>
    <w:rsid w:val="009405BF"/>
    <w:rsid w:val="00946EEA"/>
    <w:rsid w:val="009501BA"/>
    <w:rsid w:val="009534C4"/>
    <w:rsid w:val="0096109B"/>
    <w:rsid w:val="00974B5B"/>
    <w:rsid w:val="00983DBF"/>
    <w:rsid w:val="00996BCD"/>
    <w:rsid w:val="009A000F"/>
    <w:rsid w:val="009A3BBD"/>
    <w:rsid w:val="009B383A"/>
    <w:rsid w:val="009C4468"/>
    <w:rsid w:val="009D42DF"/>
    <w:rsid w:val="009D72D8"/>
    <w:rsid w:val="009E53D8"/>
    <w:rsid w:val="00A06AA5"/>
    <w:rsid w:val="00A07936"/>
    <w:rsid w:val="00A125E1"/>
    <w:rsid w:val="00A13269"/>
    <w:rsid w:val="00A15F59"/>
    <w:rsid w:val="00A20EC2"/>
    <w:rsid w:val="00A25BC6"/>
    <w:rsid w:val="00A34F8E"/>
    <w:rsid w:val="00A4365E"/>
    <w:rsid w:val="00A53094"/>
    <w:rsid w:val="00A556E4"/>
    <w:rsid w:val="00A61DC7"/>
    <w:rsid w:val="00A6623A"/>
    <w:rsid w:val="00A668FC"/>
    <w:rsid w:val="00A70CC7"/>
    <w:rsid w:val="00A71CF5"/>
    <w:rsid w:val="00A72279"/>
    <w:rsid w:val="00A738A3"/>
    <w:rsid w:val="00A824CC"/>
    <w:rsid w:val="00A84C20"/>
    <w:rsid w:val="00A85B4A"/>
    <w:rsid w:val="00A906D4"/>
    <w:rsid w:val="00A93D45"/>
    <w:rsid w:val="00AA466C"/>
    <w:rsid w:val="00AA544E"/>
    <w:rsid w:val="00AB09E6"/>
    <w:rsid w:val="00AB36F2"/>
    <w:rsid w:val="00AB409D"/>
    <w:rsid w:val="00AB5626"/>
    <w:rsid w:val="00AC1AA8"/>
    <w:rsid w:val="00AC5FEB"/>
    <w:rsid w:val="00AD0958"/>
    <w:rsid w:val="00AD34B8"/>
    <w:rsid w:val="00AE3308"/>
    <w:rsid w:val="00AE5663"/>
    <w:rsid w:val="00AE602B"/>
    <w:rsid w:val="00B03A14"/>
    <w:rsid w:val="00B06DD7"/>
    <w:rsid w:val="00B15642"/>
    <w:rsid w:val="00B177AC"/>
    <w:rsid w:val="00B251AA"/>
    <w:rsid w:val="00B25918"/>
    <w:rsid w:val="00B27C6A"/>
    <w:rsid w:val="00B302BF"/>
    <w:rsid w:val="00B32F83"/>
    <w:rsid w:val="00B343B8"/>
    <w:rsid w:val="00B374E8"/>
    <w:rsid w:val="00B45533"/>
    <w:rsid w:val="00B52C3C"/>
    <w:rsid w:val="00B52E55"/>
    <w:rsid w:val="00B53255"/>
    <w:rsid w:val="00B578E9"/>
    <w:rsid w:val="00B712E2"/>
    <w:rsid w:val="00B80937"/>
    <w:rsid w:val="00B82643"/>
    <w:rsid w:val="00B857A8"/>
    <w:rsid w:val="00B91D64"/>
    <w:rsid w:val="00B93D3B"/>
    <w:rsid w:val="00BA5BE1"/>
    <w:rsid w:val="00BA65F3"/>
    <w:rsid w:val="00BB067C"/>
    <w:rsid w:val="00BB4DDD"/>
    <w:rsid w:val="00BB569E"/>
    <w:rsid w:val="00BB6CCC"/>
    <w:rsid w:val="00BB767C"/>
    <w:rsid w:val="00BB79F0"/>
    <w:rsid w:val="00BC1F62"/>
    <w:rsid w:val="00BC2CAB"/>
    <w:rsid w:val="00BD230E"/>
    <w:rsid w:val="00BD32F5"/>
    <w:rsid w:val="00BD3343"/>
    <w:rsid w:val="00BD52EC"/>
    <w:rsid w:val="00BE44A9"/>
    <w:rsid w:val="00BF6949"/>
    <w:rsid w:val="00C0088D"/>
    <w:rsid w:val="00C032C7"/>
    <w:rsid w:val="00C0629A"/>
    <w:rsid w:val="00C1289E"/>
    <w:rsid w:val="00C13F5B"/>
    <w:rsid w:val="00C15565"/>
    <w:rsid w:val="00C17FAB"/>
    <w:rsid w:val="00C318C4"/>
    <w:rsid w:val="00C33C1B"/>
    <w:rsid w:val="00C37EC9"/>
    <w:rsid w:val="00C57A05"/>
    <w:rsid w:val="00C664AF"/>
    <w:rsid w:val="00C750F5"/>
    <w:rsid w:val="00C82F32"/>
    <w:rsid w:val="00C844AD"/>
    <w:rsid w:val="00C9321E"/>
    <w:rsid w:val="00C94C26"/>
    <w:rsid w:val="00C96AE8"/>
    <w:rsid w:val="00CA431F"/>
    <w:rsid w:val="00CB3ADF"/>
    <w:rsid w:val="00CB64D6"/>
    <w:rsid w:val="00CC309F"/>
    <w:rsid w:val="00CD3F4F"/>
    <w:rsid w:val="00CD6E81"/>
    <w:rsid w:val="00CE502C"/>
    <w:rsid w:val="00CF2B3B"/>
    <w:rsid w:val="00CF4E80"/>
    <w:rsid w:val="00D01904"/>
    <w:rsid w:val="00D038EF"/>
    <w:rsid w:val="00D05139"/>
    <w:rsid w:val="00D11C8B"/>
    <w:rsid w:val="00D12BD5"/>
    <w:rsid w:val="00D12E6F"/>
    <w:rsid w:val="00D156FE"/>
    <w:rsid w:val="00D17B31"/>
    <w:rsid w:val="00D2148C"/>
    <w:rsid w:val="00D22D31"/>
    <w:rsid w:val="00D26F17"/>
    <w:rsid w:val="00D3024B"/>
    <w:rsid w:val="00D30B30"/>
    <w:rsid w:val="00D36ADC"/>
    <w:rsid w:val="00D40529"/>
    <w:rsid w:val="00D443B3"/>
    <w:rsid w:val="00D528C3"/>
    <w:rsid w:val="00D54294"/>
    <w:rsid w:val="00D54B12"/>
    <w:rsid w:val="00D550A9"/>
    <w:rsid w:val="00D55973"/>
    <w:rsid w:val="00D61DAC"/>
    <w:rsid w:val="00D67E95"/>
    <w:rsid w:val="00D76161"/>
    <w:rsid w:val="00D80282"/>
    <w:rsid w:val="00D8126A"/>
    <w:rsid w:val="00D81F95"/>
    <w:rsid w:val="00D852FC"/>
    <w:rsid w:val="00D8759B"/>
    <w:rsid w:val="00D87EFC"/>
    <w:rsid w:val="00D97D37"/>
    <w:rsid w:val="00DB4396"/>
    <w:rsid w:val="00DC0EC3"/>
    <w:rsid w:val="00DC69F8"/>
    <w:rsid w:val="00DD4CEB"/>
    <w:rsid w:val="00DD5E34"/>
    <w:rsid w:val="00DD79E3"/>
    <w:rsid w:val="00DE103A"/>
    <w:rsid w:val="00DE211E"/>
    <w:rsid w:val="00DE2317"/>
    <w:rsid w:val="00DF02C9"/>
    <w:rsid w:val="00DF30F7"/>
    <w:rsid w:val="00DF5361"/>
    <w:rsid w:val="00DF646C"/>
    <w:rsid w:val="00E014A7"/>
    <w:rsid w:val="00E05B33"/>
    <w:rsid w:val="00E06773"/>
    <w:rsid w:val="00E072ED"/>
    <w:rsid w:val="00E11B3E"/>
    <w:rsid w:val="00E1251B"/>
    <w:rsid w:val="00E13AF3"/>
    <w:rsid w:val="00E13DA8"/>
    <w:rsid w:val="00E14EC1"/>
    <w:rsid w:val="00E15CDD"/>
    <w:rsid w:val="00E25C71"/>
    <w:rsid w:val="00E30041"/>
    <w:rsid w:val="00E37945"/>
    <w:rsid w:val="00E54E2B"/>
    <w:rsid w:val="00E57253"/>
    <w:rsid w:val="00E60525"/>
    <w:rsid w:val="00E64281"/>
    <w:rsid w:val="00E6637D"/>
    <w:rsid w:val="00E750BF"/>
    <w:rsid w:val="00E76A8B"/>
    <w:rsid w:val="00E86A2B"/>
    <w:rsid w:val="00E8716D"/>
    <w:rsid w:val="00E8752B"/>
    <w:rsid w:val="00E9106C"/>
    <w:rsid w:val="00E91352"/>
    <w:rsid w:val="00E91A23"/>
    <w:rsid w:val="00E93B2F"/>
    <w:rsid w:val="00E94CEB"/>
    <w:rsid w:val="00E95984"/>
    <w:rsid w:val="00E96118"/>
    <w:rsid w:val="00E96F7F"/>
    <w:rsid w:val="00EA01AD"/>
    <w:rsid w:val="00EA1956"/>
    <w:rsid w:val="00EA3A79"/>
    <w:rsid w:val="00EB28E1"/>
    <w:rsid w:val="00EB335D"/>
    <w:rsid w:val="00EB6B1C"/>
    <w:rsid w:val="00EC3E13"/>
    <w:rsid w:val="00ED2ADA"/>
    <w:rsid w:val="00ED2B49"/>
    <w:rsid w:val="00EE15E3"/>
    <w:rsid w:val="00EE611C"/>
    <w:rsid w:val="00EE78A5"/>
    <w:rsid w:val="00EE7DA0"/>
    <w:rsid w:val="00EF0F10"/>
    <w:rsid w:val="00EF3A6F"/>
    <w:rsid w:val="00EF3D63"/>
    <w:rsid w:val="00F10257"/>
    <w:rsid w:val="00F1115D"/>
    <w:rsid w:val="00F142A0"/>
    <w:rsid w:val="00F16996"/>
    <w:rsid w:val="00F17B30"/>
    <w:rsid w:val="00F31EA1"/>
    <w:rsid w:val="00F32F60"/>
    <w:rsid w:val="00F36A5F"/>
    <w:rsid w:val="00F46250"/>
    <w:rsid w:val="00F53208"/>
    <w:rsid w:val="00F53253"/>
    <w:rsid w:val="00F542C6"/>
    <w:rsid w:val="00F5518A"/>
    <w:rsid w:val="00F572E3"/>
    <w:rsid w:val="00F574B0"/>
    <w:rsid w:val="00F6324E"/>
    <w:rsid w:val="00F6398F"/>
    <w:rsid w:val="00F6443B"/>
    <w:rsid w:val="00F65169"/>
    <w:rsid w:val="00F70A45"/>
    <w:rsid w:val="00F73111"/>
    <w:rsid w:val="00F7455E"/>
    <w:rsid w:val="00F75B5B"/>
    <w:rsid w:val="00F75BB7"/>
    <w:rsid w:val="00F824A8"/>
    <w:rsid w:val="00F8627A"/>
    <w:rsid w:val="00F93B93"/>
    <w:rsid w:val="00F95170"/>
    <w:rsid w:val="00F96A2F"/>
    <w:rsid w:val="00FA0394"/>
    <w:rsid w:val="00FB0BB2"/>
    <w:rsid w:val="00FC01F1"/>
    <w:rsid w:val="00FC1963"/>
    <w:rsid w:val="00FC2760"/>
    <w:rsid w:val="00FC3A47"/>
    <w:rsid w:val="00FC650B"/>
    <w:rsid w:val="00FC7666"/>
    <w:rsid w:val="00FD5993"/>
    <w:rsid w:val="00FD61AD"/>
    <w:rsid w:val="00FE6A64"/>
    <w:rsid w:val="00FF130F"/>
    <w:rsid w:val="00FF1ACD"/>
    <w:rsid w:val="00FF1FD5"/>
    <w:rsid w:val="00FF5F36"/>
    <w:rsid w:val="01964270"/>
    <w:rsid w:val="01BF5A50"/>
    <w:rsid w:val="01D136A9"/>
    <w:rsid w:val="01D303E3"/>
    <w:rsid w:val="020F1641"/>
    <w:rsid w:val="02C23CDE"/>
    <w:rsid w:val="02F81D57"/>
    <w:rsid w:val="030376EE"/>
    <w:rsid w:val="034D6BB0"/>
    <w:rsid w:val="036066C3"/>
    <w:rsid w:val="03C74493"/>
    <w:rsid w:val="04072692"/>
    <w:rsid w:val="044327D4"/>
    <w:rsid w:val="044D465C"/>
    <w:rsid w:val="04DA6115"/>
    <w:rsid w:val="04E251C5"/>
    <w:rsid w:val="053B3C57"/>
    <w:rsid w:val="05526714"/>
    <w:rsid w:val="057D1157"/>
    <w:rsid w:val="066F3664"/>
    <w:rsid w:val="068F128E"/>
    <w:rsid w:val="06DD1E44"/>
    <w:rsid w:val="080A4036"/>
    <w:rsid w:val="08477A2E"/>
    <w:rsid w:val="09304FAA"/>
    <w:rsid w:val="096842C6"/>
    <w:rsid w:val="0A1A4C04"/>
    <w:rsid w:val="0A217728"/>
    <w:rsid w:val="0A537232"/>
    <w:rsid w:val="0A99164E"/>
    <w:rsid w:val="0B4C4ABF"/>
    <w:rsid w:val="0BCB1E8D"/>
    <w:rsid w:val="0C9873D3"/>
    <w:rsid w:val="0DBF7672"/>
    <w:rsid w:val="0DDD0978"/>
    <w:rsid w:val="0E864B30"/>
    <w:rsid w:val="0EFB1ADB"/>
    <w:rsid w:val="0F2B73D6"/>
    <w:rsid w:val="0FBB4FEC"/>
    <w:rsid w:val="0FD04C2E"/>
    <w:rsid w:val="0FD23122"/>
    <w:rsid w:val="0FF74A34"/>
    <w:rsid w:val="100F76D9"/>
    <w:rsid w:val="10793E6A"/>
    <w:rsid w:val="11507CD0"/>
    <w:rsid w:val="11E94254"/>
    <w:rsid w:val="12780AB4"/>
    <w:rsid w:val="12C57F16"/>
    <w:rsid w:val="12E106B0"/>
    <w:rsid w:val="1328362C"/>
    <w:rsid w:val="144A4A8F"/>
    <w:rsid w:val="152F51D9"/>
    <w:rsid w:val="15703208"/>
    <w:rsid w:val="161E2D07"/>
    <w:rsid w:val="16DB62BD"/>
    <w:rsid w:val="16E21F6A"/>
    <w:rsid w:val="16F23DE7"/>
    <w:rsid w:val="174A303A"/>
    <w:rsid w:val="17B22D7B"/>
    <w:rsid w:val="191510AD"/>
    <w:rsid w:val="19414DFD"/>
    <w:rsid w:val="19BC526D"/>
    <w:rsid w:val="19F35AE0"/>
    <w:rsid w:val="1A9F40C1"/>
    <w:rsid w:val="1AD0039B"/>
    <w:rsid w:val="1C502494"/>
    <w:rsid w:val="1C513876"/>
    <w:rsid w:val="1D234E8D"/>
    <w:rsid w:val="1D2926E1"/>
    <w:rsid w:val="1D490E70"/>
    <w:rsid w:val="1DD37B1C"/>
    <w:rsid w:val="1E0565AE"/>
    <w:rsid w:val="1E0D73A1"/>
    <w:rsid w:val="1E343B94"/>
    <w:rsid w:val="1E641526"/>
    <w:rsid w:val="1E666ED5"/>
    <w:rsid w:val="1EF34658"/>
    <w:rsid w:val="1FE24F5B"/>
    <w:rsid w:val="1FEE4CB6"/>
    <w:rsid w:val="203C1865"/>
    <w:rsid w:val="208A45F2"/>
    <w:rsid w:val="222A6C05"/>
    <w:rsid w:val="224F20F0"/>
    <w:rsid w:val="228F3918"/>
    <w:rsid w:val="22913D2A"/>
    <w:rsid w:val="22960428"/>
    <w:rsid w:val="22B13EF7"/>
    <w:rsid w:val="22F877C4"/>
    <w:rsid w:val="23042734"/>
    <w:rsid w:val="23DC0372"/>
    <w:rsid w:val="23F944BF"/>
    <w:rsid w:val="24011C06"/>
    <w:rsid w:val="24181650"/>
    <w:rsid w:val="2472286D"/>
    <w:rsid w:val="25136D15"/>
    <w:rsid w:val="254932B9"/>
    <w:rsid w:val="256C0FBF"/>
    <w:rsid w:val="2585070F"/>
    <w:rsid w:val="26116307"/>
    <w:rsid w:val="26C06394"/>
    <w:rsid w:val="279D2FA9"/>
    <w:rsid w:val="27A57706"/>
    <w:rsid w:val="2866456B"/>
    <w:rsid w:val="28A47432"/>
    <w:rsid w:val="28D952F2"/>
    <w:rsid w:val="28F45E3B"/>
    <w:rsid w:val="290F7E49"/>
    <w:rsid w:val="29504C40"/>
    <w:rsid w:val="29D4524A"/>
    <w:rsid w:val="29FC1747"/>
    <w:rsid w:val="2AB636E9"/>
    <w:rsid w:val="2AF94EBA"/>
    <w:rsid w:val="2B440B60"/>
    <w:rsid w:val="2BDA57FF"/>
    <w:rsid w:val="2BF90AE3"/>
    <w:rsid w:val="2C047EA4"/>
    <w:rsid w:val="2C260793"/>
    <w:rsid w:val="2D627891"/>
    <w:rsid w:val="2D7A0017"/>
    <w:rsid w:val="2EC95CAC"/>
    <w:rsid w:val="2F55356A"/>
    <w:rsid w:val="2FF21525"/>
    <w:rsid w:val="308C1FFE"/>
    <w:rsid w:val="30A17469"/>
    <w:rsid w:val="30C3748F"/>
    <w:rsid w:val="30C50D88"/>
    <w:rsid w:val="30F46F58"/>
    <w:rsid w:val="319D671E"/>
    <w:rsid w:val="32667C21"/>
    <w:rsid w:val="32B274F9"/>
    <w:rsid w:val="33FA0B1E"/>
    <w:rsid w:val="347A7440"/>
    <w:rsid w:val="348F6959"/>
    <w:rsid w:val="34C82ED9"/>
    <w:rsid w:val="35CF0519"/>
    <w:rsid w:val="35ED01CF"/>
    <w:rsid w:val="36AC3612"/>
    <w:rsid w:val="37382E37"/>
    <w:rsid w:val="375D6DCD"/>
    <w:rsid w:val="37DE7028"/>
    <w:rsid w:val="380671B8"/>
    <w:rsid w:val="392E47B3"/>
    <w:rsid w:val="394E5BCB"/>
    <w:rsid w:val="394F7B57"/>
    <w:rsid w:val="3A2C6493"/>
    <w:rsid w:val="3A445238"/>
    <w:rsid w:val="3A77613D"/>
    <w:rsid w:val="3A776764"/>
    <w:rsid w:val="3B1F4F84"/>
    <w:rsid w:val="3C0E5DF8"/>
    <w:rsid w:val="3CBF5D32"/>
    <w:rsid w:val="3D9620B5"/>
    <w:rsid w:val="3D9A72B8"/>
    <w:rsid w:val="3F6E7B58"/>
    <w:rsid w:val="407469B6"/>
    <w:rsid w:val="41264BEF"/>
    <w:rsid w:val="41665FC1"/>
    <w:rsid w:val="4168282C"/>
    <w:rsid w:val="43317C7B"/>
    <w:rsid w:val="433606B6"/>
    <w:rsid w:val="4348021F"/>
    <w:rsid w:val="434E194B"/>
    <w:rsid w:val="440E5F2F"/>
    <w:rsid w:val="451E1923"/>
    <w:rsid w:val="4570087B"/>
    <w:rsid w:val="45722501"/>
    <w:rsid w:val="45A16FB6"/>
    <w:rsid w:val="45F430DA"/>
    <w:rsid w:val="46B22181"/>
    <w:rsid w:val="47A07772"/>
    <w:rsid w:val="485B2DA0"/>
    <w:rsid w:val="49993098"/>
    <w:rsid w:val="4A9F0A04"/>
    <w:rsid w:val="4B3B04AE"/>
    <w:rsid w:val="4BEC1FA4"/>
    <w:rsid w:val="4D1A59A2"/>
    <w:rsid w:val="4D2739A7"/>
    <w:rsid w:val="4ED211ED"/>
    <w:rsid w:val="4F78055B"/>
    <w:rsid w:val="4FD57A42"/>
    <w:rsid w:val="4FF851AB"/>
    <w:rsid w:val="50131027"/>
    <w:rsid w:val="51481DCD"/>
    <w:rsid w:val="51E342BC"/>
    <w:rsid w:val="522C555A"/>
    <w:rsid w:val="52DE3C62"/>
    <w:rsid w:val="52EB5448"/>
    <w:rsid w:val="52F806E9"/>
    <w:rsid w:val="53F56FDD"/>
    <w:rsid w:val="545C32C3"/>
    <w:rsid w:val="554967A4"/>
    <w:rsid w:val="55DA38A0"/>
    <w:rsid w:val="574159E3"/>
    <w:rsid w:val="57AE74E9"/>
    <w:rsid w:val="57DC6D05"/>
    <w:rsid w:val="58204039"/>
    <w:rsid w:val="584D32AD"/>
    <w:rsid w:val="5858090E"/>
    <w:rsid w:val="594C6114"/>
    <w:rsid w:val="597C18C5"/>
    <w:rsid w:val="5A5F4374"/>
    <w:rsid w:val="5A64676E"/>
    <w:rsid w:val="5AA05C4C"/>
    <w:rsid w:val="5ABE7EC5"/>
    <w:rsid w:val="5ADC3C17"/>
    <w:rsid w:val="5B920B84"/>
    <w:rsid w:val="5C0F593A"/>
    <w:rsid w:val="5C1C22F9"/>
    <w:rsid w:val="5D015C54"/>
    <w:rsid w:val="5FD53742"/>
    <w:rsid w:val="60207DAE"/>
    <w:rsid w:val="6111288D"/>
    <w:rsid w:val="621A3249"/>
    <w:rsid w:val="62D91574"/>
    <w:rsid w:val="62E428C6"/>
    <w:rsid w:val="635428C5"/>
    <w:rsid w:val="63B14C75"/>
    <w:rsid w:val="64281C7B"/>
    <w:rsid w:val="642D32BD"/>
    <w:rsid w:val="653A50F7"/>
    <w:rsid w:val="654E0916"/>
    <w:rsid w:val="668928D1"/>
    <w:rsid w:val="66D641C2"/>
    <w:rsid w:val="67AC4971"/>
    <w:rsid w:val="68D30FAC"/>
    <w:rsid w:val="69046561"/>
    <w:rsid w:val="69091CE9"/>
    <w:rsid w:val="6AD25C1C"/>
    <w:rsid w:val="6B0928CD"/>
    <w:rsid w:val="6B263C40"/>
    <w:rsid w:val="6BA23AFB"/>
    <w:rsid w:val="6BB15CF0"/>
    <w:rsid w:val="6BE14931"/>
    <w:rsid w:val="6C091054"/>
    <w:rsid w:val="6C5E2F20"/>
    <w:rsid w:val="6CB22781"/>
    <w:rsid w:val="6D5C5C37"/>
    <w:rsid w:val="6D78132B"/>
    <w:rsid w:val="6DA61F99"/>
    <w:rsid w:val="6DB74E92"/>
    <w:rsid w:val="6E3C607E"/>
    <w:rsid w:val="6E47372B"/>
    <w:rsid w:val="6F1334FD"/>
    <w:rsid w:val="6F493653"/>
    <w:rsid w:val="6FAA6C40"/>
    <w:rsid w:val="70572C7A"/>
    <w:rsid w:val="708749ED"/>
    <w:rsid w:val="71C9278B"/>
    <w:rsid w:val="726D162F"/>
    <w:rsid w:val="73191209"/>
    <w:rsid w:val="737B1BE1"/>
    <w:rsid w:val="73932BC2"/>
    <w:rsid w:val="756845CD"/>
    <w:rsid w:val="76532CA2"/>
    <w:rsid w:val="76A86BFF"/>
    <w:rsid w:val="774E379A"/>
    <w:rsid w:val="77BF1961"/>
    <w:rsid w:val="79FC3536"/>
    <w:rsid w:val="7A196043"/>
    <w:rsid w:val="7A3D1136"/>
    <w:rsid w:val="7A6156CD"/>
    <w:rsid w:val="7D8658C6"/>
    <w:rsid w:val="7DC8084B"/>
    <w:rsid w:val="7DE858A5"/>
    <w:rsid w:val="7EAD1A12"/>
    <w:rsid w:val="7EDB7B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3">
    <w:name w:val="heading 2"/>
    <w:basedOn w:val="1"/>
    <w:next w:val="1"/>
    <w:link w:val="36"/>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37"/>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5">
    <w:name w:val="heading 4"/>
    <w:basedOn w:val="1"/>
    <w:next w:val="1"/>
    <w:link w:val="38"/>
    <w:qFormat/>
    <w:uiPriority w:val="0"/>
    <w:pPr>
      <w:keepNext/>
      <w:keepLines/>
      <w:spacing w:before="280" w:after="290" w:line="372" w:lineRule="auto"/>
      <w:outlineLvl w:val="3"/>
    </w:pPr>
    <w:rPr>
      <w:rFonts w:ascii="Arial" w:hAnsi="Arial" w:eastAsia="黑体" w:cs="Times New Roman"/>
      <w:b/>
      <w:sz w:val="28"/>
      <w:szCs w:val="20"/>
    </w:rPr>
  </w:style>
  <w:style w:type="paragraph" w:styleId="6">
    <w:name w:val="heading 5"/>
    <w:basedOn w:val="1"/>
    <w:next w:val="1"/>
    <w:link w:val="39"/>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7">
    <w:name w:val="heading 6"/>
    <w:basedOn w:val="1"/>
    <w:next w:val="1"/>
    <w:link w:val="40"/>
    <w:qFormat/>
    <w:uiPriority w:val="0"/>
    <w:pPr>
      <w:keepNext/>
      <w:keepLines/>
      <w:spacing w:before="240" w:after="64" w:line="317" w:lineRule="auto"/>
      <w:outlineLvl w:val="5"/>
    </w:pPr>
    <w:rPr>
      <w:rFonts w:ascii="Arial" w:hAnsi="Arial" w:eastAsia="黑体" w:cs="Times New Roman"/>
      <w:b/>
      <w:sz w:val="24"/>
      <w:szCs w:val="20"/>
    </w:rPr>
  </w:style>
  <w:style w:type="paragraph" w:styleId="8">
    <w:name w:val="heading 7"/>
    <w:basedOn w:val="1"/>
    <w:next w:val="1"/>
    <w:link w:val="41"/>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9">
    <w:name w:val="heading 8"/>
    <w:basedOn w:val="1"/>
    <w:next w:val="1"/>
    <w:link w:val="42"/>
    <w:qFormat/>
    <w:uiPriority w:val="0"/>
    <w:pPr>
      <w:keepNext/>
      <w:keepLines/>
      <w:spacing w:before="240" w:after="64" w:line="317" w:lineRule="auto"/>
      <w:outlineLvl w:val="7"/>
    </w:pPr>
    <w:rPr>
      <w:rFonts w:ascii="Arial" w:hAnsi="Arial" w:eastAsia="黑体" w:cs="Times New Roman"/>
      <w:sz w:val="24"/>
      <w:szCs w:val="20"/>
    </w:rPr>
  </w:style>
  <w:style w:type="paragraph" w:styleId="10">
    <w:name w:val="heading 9"/>
    <w:basedOn w:val="1"/>
    <w:next w:val="1"/>
    <w:link w:val="43"/>
    <w:qFormat/>
    <w:uiPriority w:val="0"/>
    <w:pPr>
      <w:keepNext/>
      <w:keepLines/>
      <w:spacing w:before="240" w:after="64" w:line="317" w:lineRule="auto"/>
      <w:outlineLvl w:val="8"/>
    </w:pPr>
    <w:rPr>
      <w:rFonts w:ascii="Arial" w:hAnsi="Arial" w:eastAsia="黑体" w:cs="Times New Roman"/>
      <w:szCs w:val="20"/>
    </w:rPr>
  </w:style>
  <w:style w:type="character" w:default="1" w:styleId="25">
    <w:name w:val="Default Paragraph Font"/>
    <w:semiHidden/>
    <w:unhideWhenUsed/>
    <w:qFormat/>
    <w:uiPriority w:val="1"/>
  </w:style>
  <w:style w:type="table" w:default="1" w:styleId="30">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rPr>
      <w:b/>
      <w:bCs/>
    </w:rPr>
  </w:style>
  <w:style w:type="paragraph" w:styleId="12">
    <w:name w:val="annotation text"/>
    <w:basedOn w:val="1"/>
    <w:link w:val="52"/>
    <w:qFormat/>
    <w:uiPriority w:val="0"/>
    <w:pPr>
      <w:jc w:val="left"/>
    </w:pPr>
    <w:rPr>
      <w:rFonts w:ascii="Times New Roman" w:hAnsi="Times New Roman" w:eastAsia="宋体" w:cs="Times New Roman"/>
      <w:szCs w:val="20"/>
    </w:rPr>
  </w:style>
  <w:style w:type="paragraph" w:styleId="13">
    <w:name w:val="Body Text First Indent"/>
    <w:basedOn w:val="14"/>
    <w:qFormat/>
    <w:uiPriority w:val="0"/>
    <w:pPr>
      <w:spacing w:after="120"/>
      <w:ind w:firstLine="420" w:firstLineChars="100"/>
    </w:pPr>
  </w:style>
  <w:style w:type="paragraph" w:styleId="14">
    <w:name w:val="Body Text"/>
    <w:basedOn w:val="1"/>
    <w:next w:val="1"/>
    <w:link w:val="45"/>
    <w:qFormat/>
    <w:uiPriority w:val="0"/>
    <w:rPr>
      <w:rFonts w:ascii="Times New Roman" w:hAnsi="Times New Roman" w:eastAsia="宋体" w:cs="Times New Roman"/>
      <w:sz w:val="20"/>
      <w:szCs w:val="20"/>
    </w:rPr>
  </w:style>
  <w:style w:type="paragraph" w:styleId="15">
    <w:name w:val="Body Text Indent"/>
    <w:basedOn w:val="1"/>
    <w:link w:val="82"/>
    <w:semiHidden/>
    <w:unhideWhenUsed/>
    <w:qFormat/>
    <w:uiPriority w:val="99"/>
    <w:pPr>
      <w:spacing w:after="120"/>
      <w:ind w:left="420" w:leftChars="200"/>
    </w:pPr>
  </w:style>
  <w:style w:type="paragraph" w:styleId="16">
    <w:name w:val="Plain Text"/>
    <w:basedOn w:val="1"/>
    <w:link w:val="55"/>
    <w:qFormat/>
    <w:uiPriority w:val="0"/>
    <w:rPr>
      <w:rFonts w:ascii="宋体" w:hAnsi="Courier New" w:eastAsia="宋体" w:cs="Times New Roman"/>
      <w:szCs w:val="20"/>
    </w:rPr>
  </w:style>
  <w:style w:type="paragraph" w:styleId="17">
    <w:name w:val="Balloon Text"/>
    <w:basedOn w:val="1"/>
    <w:link w:val="44"/>
    <w:semiHidden/>
    <w:qFormat/>
    <w:uiPriority w:val="0"/>
    <w:rPr>
      <w:rFonts w:ascii="Times New Roman" w:hAnsi="Times New Roman" w:eastAsia="宋体" w:cs="Times New Roman"/>
      <w:sz w:val="18"/>
      <w:szCs w:val="18"/>
    </w:rPr>
  </w:style>
  <w:style w:type="paragraph" w:styleId="18">
    <w:name w:val="footer"/>
    <w:basedOn w:val="1"/>
    <w:link w:val="34"/>
    <w:unhideWhenUsed/>
    <w:qFormat/>
    <w:uiPriority w:val="99"/>
    <w:pPr>
      <w:tabs>
        <w:tab w:val="center" w:pos="4153"/>
        <w:tab w:val="right" w:pos="8306"/>
      </w:tabs>
      <w:snapToGrid w:val="0"/>
      <w:jc w:val="left"/>
    </w:pPr>
    <w:rPr>
      <w:sz w:val="18"/>
      <w:szCs w:val="18"/>
    </w:rPr>
  </w:style>
  <w:style w:type="paragraph" w:styleId="19">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rPr>
      <w:rFonts w:ascii="Times New Roman" w:hAnsi="Times New Roman" w:eastAsia="宋体" w:cs="Times New Roman"/>
      <w:szCs w:val="20"/>
    </w:rPr>
  </w:style>
  <w:style w:type="paragraph" w:styleId="21">
    <w:name w:val="Body Text Indent 3"/>
    <w:basedOn w:val="1"/>
    <w:link w:val="51"/>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22">
    <w:name w:val="toc 2"/>
    <w:basedOn w:val="1"/>
    <w:next w:val="1"/>
    <w:qFormat/>
    <w:uiPriority w:val="0"/>
    <w:pPr>
      <w:ind w:left="420" w:leftChars="200"/>
    </w:pPr>
    <w:rPr>
      <w:rFonts w:ascii="Times New Roman" w:hAnsi="Times New Roman" w:eastAsia="宋体" w:cs="Times New Roman"/>
      <w:szCs w:val="20"/>
    </w:rPr>
  </w:style>
  <w:style w:type="paragraph" w:styleId="23">
    <w:name w:val="Body Text 2"/>
    <w:basedOn w:val="1"/>
    <w:link w:val="48"/>
    <w:qFormat/>
    <w:uiPriority w:val="0"/>
    <w:pPr>
      <w:spacing w:after="120" w:line="480" w:lineRule="auto"/>
    </w:pPr>
    <w:rPr>
      <w:rFonts w:ascii="Times New Roman" w:hAnsi="Times New Roman" w:eastAsia="宋体" w:cs="Times New Roman"/>
      <w:sz w:val="20"/>
      <w:szCs w:val="20"/>
    </w:rPr>
  </w:style>
  <w:style w:type="paragraph" w:styleId="24">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character" w:styleId="26">
    <w:name w:val="page number"/>
    <w:basedOn w:val="25"/>
    <w:qFormat/>
    <w:uiPriority w:val="0"/>
  </w:style>
  <w:style w:type="character" w:styleId="27">
    <w:name w:val="FollowedHyperlink"/>
    <w:qFormat/>
    <w:uiPriority w:val="0"/>
    <w:rPr>
      <w:color w:val="auto"/>
      <w:u w:val="none"/>
    </w:rPr>
  </w:style>
  <w:style w:type="character" w:styleId="28">
    <w:name w:val="Hyperlink"/>
    <w:basedOn w:val="25"/>
    <w:unhideWhenUsed/>
    <w:qFormat/>
    <w:uiPriority w:val="99"/>
    <w:rPr>
      <w:color w:val="0000FF"/>
      <w:u w:val="single"/>
    </w:rPr>
  </w:style>
  <w:style w:type="character" w:styleId="29">
    <w:name w:val="annotation reference"/>
    <w:basedOn w:val="25"/>
    <w:qFormat/>
    <w:uiPriority w:val="99"/>
    <w:rPr>
      <w:sz w:val="21"/>
      <w:szCs w:val="21"/>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2">
    <w:name w:val="正文文本1"/>
    <w:basedOn w:val="1"/>
    <w:qFormat/>
    <w:uiPriority w:val="0"/>
    <w:rPr>
      <w:sz w:val="20"/>
    </w:rPr>
  </w:style>
  <w:style w:type="character" w:customStyle="1" w:styleId="33">
    <w:name w:val="页眉 Char"/>
    <w:basedOn w:val="25"/>
    <w:link w:val="19"/>
    <w:qFormat/>
    <w:uiPriority w:val="99"/>
    <w:rPr>
      <w:sz w:val="18"/>
      <w:szCs w:val="18"/>
    </w:rPr>
  </w:style>
  <w:style w:type="character" w:customStyle="1" w:styleId="34">
    <w:name w:val="页脚 Char"/>
    <w:basedOn w:val="25"/>
    <w:link w:val="18"/>
    <w:qFormat/>
    <w:uiPriority w:val="99"/>
    <w:rPr>
      <w:sz w:val="18"/>
      <w:szCs w:val="18"/>
    </w:rPr>
  </w:style>
  <w:style w:type="character" w:customStyle="1" w:styleId="35">
    <w:name w:val="标题 1 Char"/>
    <w:basedOn w:val="25"/>
    <w:link w:val="2"/>
    <w:qFormat/>
    <w:uiPriority w:val="0"/>
    <w:rPr>
      <w:rFonts w:ascii="Times New Roman" w:hAnsi="Times New Roman" w:eastAsia="宋体" w:cs="Times New Roman"/>
      <w:b/>
      <w:kern w:val="44"/>
      <w:sz w:val="44"/>
      <w:szCs w:val="20"/>
    </w:rPr>
  </w:style>
  <w:style w:type="character" w:customStyle="1" w:styleId="36">
    <w:name w:val="标题 2 Char"/>
    <w:basedOn w:val="25"/>
    <w:link w:val="3"/>
    <w:qFormat/>
    <w:uiPriority w:val="0"/>
    <w:rPr>
      <w:rFonts w:ascii="Arial" w:hAnsi="Arial" w:eastAsia="黑体" w:cs="Times New Roman"/>
      <w:b/>
      <w:sz w:val="32"/>
      <w:szCs w:val="20"/>
    </w:rPr>
  </w:style>
  <w:style w:type="character" w:customStyle="1" w:styleId="37">
    <w:name w:val="标题 3 Char"/>
    <w:basedOn w:val="25"/>
    <w:link w:val="4"/>
    <w:qFormat/>
    <w:uiPriority w:val="0"/>
    <w:rPr>
      <w:rFonts w:ascii="Times New Roman" w:hAnsi="Times New Roman" w:eastAsia="宋体" w:cs="Times New Roman"/>
      <w:b/>
      <w:sz w:val="32"/>
      <w:szCs w:val="20"/>
    </w:rPr>
  </w:style>
  <w:style w:type="character" w:customStyle="1" w:styleId="38">
    <w:name w:val="标题 4 Char"/>
    <w:basedOn w:val="25"/>
    <w:link w:val="5"/>
    <w:qFormat/>
    <w:uiPriority w:val="0"/>
    <w:rPr>
      <w:rFonts w:ascii="Arial" w:hAnsi="Arial" w:eastAsia="黑体" w:cs="Times New Roman"/>
      <w:b/>
      <w:sz w:val="28"/>
      <w:szCs w:val="20"/>
    </w:rPr>
  </w:style>
  <w:style w:type="character" w:customStyle="1" w:styleId="39">
    <w:name w:val="标题 5 Char"/>
    <w:basedOn w:val="25"/>
    <w:link w:val="6"/>
    <w:qFormat/>
    <w:uiPriority w:val="0"/>
    <w:rPr>
      <w:rFonts w:ascii="Times New Roman" w:hAnsi="Times New Roman" w:eastAsia="宋体" w:cs="Times New Roman"/>
      <w:b/>
      <w:sz w:val="28"/>
      <w:szCs w:val="20"/>
    </w:rPr>
  </w:style>
  <w:style w:type="character" w:customStyle="1" w:styleId="40">
    <w:name w:val="标题 6 Char"/>
    <w:basedOn w:val="25"/>
    <w:link w:val="7"/>
    <w:qFormat/>
    <w:uiPriority w:val="0"/>
    <w:rPr>
      <w:rFonts w:ascii="Arial" w:hAnsi="Arial" w:eastAsia="黑体" w:cs="Times New Roman"/>
      <w:b/>
      <w:sz w:val="24"/>
      <w:szCs w:val="20"/>
    </w:rPr>
  </w:style>
  <w:style w:type="character" w:customStyle="1" w:styleId="41">
    <w:name w:val="标题 7 Char"/>
    <w:basedOn w:val="25"/>
    <w:link w:val="8"/>
    <w:qFormat/>
    <w:uiPriority w:val="0"/>
    <w:rPr>
      <w:rFonts w:ascii="Times New Roman" w:hAnsi="Times New Roman" w:eastAsia="宋体" w:cs="Times New Roman"/>
      <w:b/>
      <w:sz w:val="24"/>
      <w:szCs w:val="20"/>
    </w:rPr>
  </w:style>
  <w:style w:type="character" w:customStyle="1" w:styleId="42">
    <w:name w:val="标题 8 Char"/>
    <w:basedOn w:val="25"/>
    <w:link w:val="9"/>
    <w:qFormat/>
    <w:uiPriority w:val="0"/>
    <w:rPr>
      <w:rFonts w:ascii="Arial" w:hAnsi="Arial" w:eastAsia="黑体" w:cs="Times New Roman"/>
      <w:sz w:val="24"/>
      <w:szCs w:val="20"/>
    </w:rPr>
  </w:style>
  <w:style w:type="character" w:customStyle="1" w:styleId="43">
    <w:name w:val="标题 9 Char"/>
    <w:basedOn w:val="25"/>
    <w:link w:val="10"/>
    <w:qFormat/>
    <w:uiPriority w:val="0"/>
    <w:rPr>
      <w:rFonts w:ascii="Arial" w:hAnsi="Arial" w:eastAsia="黑体" w:cs="Times New Roman"/>
      <w:szCs w:val="20"/>
    </w:rPr>
  </w:style>
  <w:style w:type="character" w:customStyle="1" w:styleId="44">
    <w:name w:val="批注框文本 Char"/>
    <w:basedOn w:val="25"/>
    <w:link w:val="17"/>
    <w:semiHidden/>
    <w:qFormat/>
    <w:uiPriority w:val="0"/>
    <w:rPr>
      <w:rFonts w:ascii="Times New Roman" w:hAnsi="Times New Roman" w:eastAsia="宋体" w:cs="Times New Roman"/>
      <w:sz w:val="18"/>
      <w:szCs w:val="18"/>
    </w:rPr>
  </w:style>
  <w:style w:type="character" w:customStyle="1" w:styleId="45">
    <w:name w:val="正文文本 Char"/>
    <w:basedOn w:val="25"/>
    <w:link w:val="14"/>
    <w:qFormat/>
    <w:uiPriority w:val="0"/>
    <w:rPr>
      <w:rFonts w:ascii="Times New Roman" w:hAnsi="Times New Roman" w:eastAsia="宋体" w:cs="Times New Roman"/>
      <w:sz w:val="20"/>
      <w:szCs w:val="20"/>
    </w:rPr>
  </w:style>
  <w:style w:type="paragraph" w:styleId="46">
    <w:name w:val="List Paragraph"/>
    <w:basedOn w:val="1"/>
    <w:qFormat/>
    <w:uiPriority w:val="1"/>
    <w:pPr>
      <w:ind w:firstLine="420" w:firstLineChars="200"/>
    </w:pPr>
    <w:rPr>
      <w:rFonts w:ascii="Times New Roman" w:hAnsi="Times New Roman" w:eastAsia="宋体" w:cs="Times New Roman"/>
      <w:szCs w:val="20"/>
    </w:rPr>
  </w:style>
  <w:style w:type="paragraph" w:customStyle="1" w:styleId="47">
    <w:name w:val="纯文本1"/>
    <w:basedOn w:val="1"/>
    <w:qFormat/>
    <w:uiPriority w:val="0"/>
    <w:rPr>
      <w:rFonts w:ascii="宋体" w:hAnsi="Courier New" w:eastAsia="宋体" w:cs="Times New Roman"/>
    </w:rPr>
  </w:style>
  <w:style w:type="character" w:customStyle="1" w:styleId="48">
    <w:name w:val="正文文本 2 Char"/>
    <w:basedOn w:val="25"/>
    <w:link w:val="23"/>
    <w:qFormat/>
    <w:uiPriority w:val="0"/>
    <w:rPr>
      <w:rFonts w:ascii="Times New Roman" w:hAnsi="Times New Roman" w:eastAsia="宋体" w:cs="Times New Roman"/>
      <w:sz w:val="20"/>
      <w:szCs w:val="20"/>
    </w:rPr>
  </w:style>
  <w:style w:type="paragraph" w:customStyle="1" w:styleId="49">
    <w:name w:val="Default Paragraph Font Para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50">
    <w:name w:val="正文缩进1"/>
    <w:basedOn w:val="1"/>
    <w:qFormat/>
    <w:uiPriority w:val="0"/>
    <w:pPr>
      <w:autoSpaceDE w:val="0"/>
      <w:autoSpaceDN w:val="0"/>
      <w:adjustRightInd w:val="0"/>
      <w:ind w:firstLine="420"/>
      <w:jc w:val="left"/>
    </w:pPr>
    <w:rPr>
      <w:rFonts w:ascii="宋体" w:hAnsi="Calibri" w:eastAsia="宋体" w:cs="Times New Roman"/>
      <w:sz w:val="24"/>
    </w:rPr>
  </w:style>
  <w:style w:type="character" w:customStyle="1" w:styleId="51">
    <w:name w:val="正文文本缩进 3 Char"/>
    <w:basedOn w:val="25"/>
    <w:link w:val="21"/>
    <w:qFormat/>
    <w:uiPriority w:val="0"/>
    <w:rPr>
      <w:rFonts w:ascii="Times New Roman" w:hAnsi="Times New Roman" w:eastAsia="宋体" w:cs="Times New Roman"/>
      <w:kern w:val="0"/>
      <w:sz w:val="16"/>
      <w:szCs w:val="16"/>
    </w:rPr>
  </w:style>
  <w:style w:type="character" w:customStyle="1" w:styleId="52">
    <w:name w:val="批注文字 Char"/>
    <w:basedOn w:val="25"/>
    <w:link w:val="12"/>
    <w:qFormat/>
    <w:uiPriority w:val="0"/>
    <w:rPr>
      <w:rFonts w:ascii="Times New Roman" w:hAnsi="Times New Roman" w:eastAsia="宋体" w:cs="Times New Roman"/>
      <w:szCs w:val="20"/>
    </w:rPr>
  </w:style>
  <w:style w:type="paragraph" w:customStyle="1" w:styleId="53">
    <w:name w:val="索引 11"/>
    <w:basedOn w:val="1"/>
    <w:next w:val="1"/>
    <w:qFormat/>
    <w:uiPriority w:val="0"/>
    <w:pPr>
      <w:spacing w:line="360" w:lineRule="auto"/>
    </w:pPr>
    <w:rPr>
      <w:rFonts w:ascii="仿宋_GB2312" w:hAnsi="Times New Roman" w:eastAsia="仿宋_GB2312" w:cs="Times New Roman"/>
      <w:sz w:val="24"/>
      <w:szCs w:val="20"/>
    </w:rPr>
  </w:style>
  <w:style w:type="paragraph" w:customStyle="1" w:styleId="54">
    <w:name w:val="普通文字"/>
    <w:basedOn w:val="1"/>
    <w:next w:val="1"/>
    <w:qFormat/>
    <w:uiPriority w:val="0"/>
    <w:rPr>
      <w:rFonts w:ascii="宋体" w:hAnsi="Times New Roman" w:eastAsia="宋体" w:cs="Times New Roman"/>
      <w:kern w:val="0"/>
      <w:sz w:val="24"/>
      <w:szCs w:val="20"/>
      <w:u w:color="000000"/>
    </w:rPr>
  </w:style>
  <w:style w:type="character" w:customStyle="1" w:styleId="55">
    <w:name w:val="纯文本 Char1"/>
    <w:basedOn w:val="25"/>
    <w:link w:val="16"/>
    <w:qFormat/>
    <w:uiPriority w:val="0"/>
    <w:rPr>
      <w:rFonts w:ascii="宋体" w:hAnsi="Courier New" w:eastAsia="宋体" w:cs="Times New Roman"/>
      <w:szCs w:val="20"/>
    </w:rPr>
  </w:style>
  <w:style w:type="character" w:customStyle="1" w:styleId="56">
    <w:name w:val="批注主题 Char"/>
    <w:basedOn w:val="52"/>
    <w:link w:val="11"/>
    <w:qFormat/>
    <w:uiPriority w:val="0"/>
    <w:rPr>
      <w:rFonts w:ascii="Times New Roman" w:hAnsi="Times New Roman" w:eastAsia="宋体" w:cs="Times New Roman"/>
      <w:b/>
      <w:bCs/>
      <w:szCs w:val="20"/>
    </w:rPr>
  </w:style>
  <w:style w:type="paragraph" w:styleId="5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Normal_1"/>
    <w:qFormat/>
    <w:uiPriority w:val="0"/>
    <w:pPr>
      <w:widowControl w:val="0"/>
      <w:jc w:val="both"/>
    </w:pPr>
    <w:rPr>
      <w:rFonts w:ascii="Times New Roman" w:hAnsi="Times New Roman" w:eastAsia="Times New Roman" w:cs="Times New Roman"/>
      <w:lang w:val="en-US" w:eastAsia="zh-CN" w:bidi="ar-SA"/>
    </w:rPr>
  </w:style>
  <w:style w:type="paragraph" w:customStyle="1" w:styleId="59">
    <w:name w:val="正文_1_0"/>
    <w:basedOn w:val="1"/>
    <w:qFormat/>
    <w:uiPriority w:val="0"/>
    <w:rPr>
      <w:rFonts w:ascii="Times New Roman" w:hAnsi="Times New Roman" w:eastAsia="宋体" w:cs="Times New Roman"/>
      <w:szCs w:val="24"/>
    </w:rPr>
  </w:style>
  <w:style w:type="paragraph" w:customStyle="1" w:styleId="60">
    <w:name w:val="列出段落1"/>
    <w:basedOn w:val="1"/>
    <w:qFormat/>
    <w:uiPriority w:val="0"/>
    <w:pPr>
      <w:ind w:firstLine="420" w:firstLineChars="200"/>
    </w:pPr>
    <w:rPr>
      <w:rFonts w:ascii="Calibri" w:hAnsi="Calibri" w:eastAsia="微软雅黑" w:cs="Times New Roman"/>
      <w:szCs w:val="21"/>
    </w:rPr>
  </w:style>
  <w:style w:type="paragraph" w:customStyle="1" w:styleId="61">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2">
    <w:name w:val="纯文本 Char"/>
    <w:qFormat/>
    <w:uiPriority w:val="0"/>
    <w:rPr>
      <w:rFonts w:ascii="Calibri" w:hAnsi="Calibri"/>
      <w:kern w:val="2"/>
      <w:sz w:val="24"/>
      <w:szCs w:val="24"/>
    </w:rPr>
  </w:style>
  <w:style w:type="paragraph" w:customStyle="1" w:styleId="63">
    <w:name w:val="Normal_0"/>
    <w:qFormat/>
    <w:uiPriority w:val="0"/>
    <w:rPr>
      <w:rFonts w:ascii="黑体" w:hAnsi="黑体" w:eastAsia="黑体" w:cs="Times New Roman"/>
      <w:b/>
      <w:sz w:val="32"/>
      <w:szCs w:val="24"/>
      <w:lang w:val="en-US" w:eastAsia="zh-CN" w:bidi="ar-SA"/>
    </w:rPr>
  </w:style>
  <w:style w:type="paragraph" w:customStyle="1" w:styleId="64">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_12"/>
    <w:qFormat/>
    <w:uiPriority w:val="0"/>
    <w:pPr>
      <w:widowControl w:val="0"/>
      <w:jc w:val="both"/>
    </w:pPr>
    <w:rPr>
      <w:rFonts w:ascii="Calibri" w:hAnsi="Calibri" w:eastAsia="宋体" w:cs="Times New Roman"/>
      <w:kern w:val="2"/>
      <w:sz w:val="21"/>
      <w:szCs w:val="24"/>
      <w:lang w:val="en-US" w:eastAsia="zh-CN" w:bidi="ar-SA"/>
    </w:rPr>
  </w:style>
  <w:style w:type="character" w:customStyle="1" w:styleId="66">
    <w:name w:val="font31"/>
    <w:basedOn w:val="25"/>
    <w:qFormat/>
    <w:uiPriority w:val="0"/>
    <w:rPr>
      <w:rFonts w:hint="eastAsia" w:ascii="宋体" w:hAnsi="宋体" w:eastAsia="宋体" w:cs="宋体"/>
      <w:color w:val="000000"/>
      <w:sz w:val="24"/>
      <w:szCs w:val="24"/>
      <w:u w:val="none"/>
    </w:rPr>
  </w:style>
  <w:style w:type="character" w:customStyle="1" w:styleId="67">
    <w:name w:val="font21"/>
    <w:basedOn w:val="25"/>
    <w:qFormat/>
    <w:uiPriority w:val="0"/>
    <w:rPr>
      <w:rFonts w:hint="eastAsia" w:ascii="宋体" w:hAnsi="宋体" w:eastAsia="宋体" w:cs="宋体"/>
      <w:color w:val="FF0000"/>
      <w:sz w:val="24"/>
      <w:szCs w:val="24"/>
      <w:u w:val="none"/>
    </w:rPr>
  </w:style>
  <w:style w:type="paragraph" w:customStyle="1" w:styleId="68">
    <w:name w:val="正文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
    <w:name w:val="hyj段落格式化"/>
    <w:basedOn w:val="70"/>
    <w:next w:val="70"/>
    <w:qFormat/>
    <w:uiPriority w:val="0"/>
    <w:pPr>
      <w:spacing w:line="360" w:lineRule="auto"/>
      <w:ind w:firstLine="200" w:firstLineChars="200"/>
    </w:pPr>
    <w:rPr>
      <w:rFonts w:ascii="Calibri" w:hAnsi="Calibri"/>
      <w:sz w:val="24"/>
      <w:szCs w:val="21"/>
    </w:rPr>
  </w:style>
  <w:style w:type="paragraph" w:customStyle="1" w:styleId="70">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2">
    <w:name w:val="正文文本缩进 3_0"/>
    <w:basedOn w:val="70"/>
    <w:qFormat/>
    <w:uiPriority w:val="0"/>
    <w:pPr>
      <w:widowControl/>
      <w:spacing w:after="120"/>
      <w:ind w:left="420" w:leftChars="200"/>
      <w:jc w:val="left"/>
    </w:pPr>
    <w:rPr>
      <w:rFonts w:ascii="Calibri" w:hAnsi="Calibri"/>
      <w:sz w:val="16"/>
      <w:szCs w:val="16"/>
    </w:rPr>
  </w:style>
  <w:style w:type="paragraph" w:customStyle="1" w:styleId="73">
    <w:name w:val="Normal_29"/>
    <w:qFormat/>
    <w:uiPriority w:val="0"/>
    <w:pPr>
      <w:widowControl w:val="0"/>
      <w:jc w:val="both"/>
    </w:pPr>
    <w:rPr>
      <w:rFonts w:ascii="Times New Roman" w:hAnsi="Times New Roman" w:eastAsia="宋体" w:cs="Times New Roman"/>
      <w:szCs w:val="24"/>
      <w:lang w:val="en-US" w:eastAsia="zh-CN" w:bidi="ar-SA"/>
    </w:rPr>
  </w:style>
  <w:style w:type="paragraph" w:customStyle="1" w:styleId="74">
    <w:name w:val="正文1"/>
    <w:qFormat/>
    <w:uiPriority w:val="0"/>
    <w:pPr>
      <w:widowControl w:val="0"/>
      <w:jc w:val="both"/>
    </w:pPr>
    <w:rPr>
      <w:rFonts w:ascii="Times New Roman" w:hAnsi="Times New Roman" w:eastAsia="宋体" w:cs="Times New Roman"/>
      <w:szCs w:val="24"/>
      <w:lang w:val="en-US" w:eastAsia="zh-CN" w:bidi="ar-SA"/>
    </w:rPr>
  </w:style>
  <w:style w:type="paragraph" w:customStyle="1" w:styleId="75">
    <w:name w:val="列出段落2"/>
    <w:basedOn w:val="1"/>
    <w:qFormat/>
    <w:uiPriority w:val="0"/>
    <w:pPr>
      <w:ind w:firstLine="420" w:firstLineChars="200"/>
    </w:pPr>
    <w:rPr>
      <w:rFonts w:ascii="Times New Roman" w:hAnsi="Times New Roman" w:eastAsia="微软雅黑" w:cs="Times New Roman"/>
      <w:szCs w:val="21"/>
    </w:rPr>
  </w:style>
  <w:style w:type="paragraph" w:customStyle="1" w:styleId="76">
    <w:name w:val="Normal_1_0"/>
    <w:qFormat/>
    <w:uiPriority w:val="0"/>
    <w:pPr>
      <w:widowControl w:val="0"/>
      <w:jc w:val="both"/>
    </w:pPr>
    <w:rPr>
      <w:rFonts w:ascii="Times New Roman" w:hAnsi="Times New Roman" w:eastAsia="Times New Roman" w:cs="Times New Roman"/>
      <w:lang w:val="en-US" w:eastAsia="zh-CN" w:bidi="ar-SA"/>
    </w:rPr>
  </w:style>
  <w:style w:type="paragraph" w:customStyle="1" w:styleId="77">
    <w:name w:val="样式1_0"/>
    <w:basedOn w:val="76"/>
    <w:qFormat/>
    <w:uiPriority w:val="0"/>
    <w:pPr>
      <w:snapToGrid w:val="0"/>
      <w:spacing w:line="540" w:lineRule="atLeast"/>
    </w:pPr>
    <w:rPr>
      <w:rFonts w:ascii="Calibri" w:hAnsi="Calibri" w:eastAsia="宋体"/>
      <w:spacing w:val="16"/>
      <w:sz w:val="28"/>
    </w:rPr>
  </w:style>
  <w:style w:type="paragraph" w:customStyle="1" w:styleId="78">
    <w:name w:val="Normal_1_0_0"/>
    <w:basedOn w:val="58"/>
    <w:qFormat/>
    <w:uiPriority w:val="0"/>
    <w:rPr>
      <w:rFonts w:eastAsia="宋体"/>
    </w:rPr>
  </w:style>
  <w:style w:type="paragraph" w:customStyle="1" w:styleId="79">
    <w:name w:val="Normal_1_1"/>
    <w:basedOn w:val="76"/>
    <w:qFormat/>
    <w:uiPriority w:val="0"/>
  </w:style>
  <w:style w:type="paragraph" w:customStyle="1" w:styleId="80">
    <w:name w:val="正文_1_0_0"/>
    <w:basedOn w:val="1"/>
    <w:qFormat/>
    <w:uiPriority w:val="0"/>
    <w:rPr>
      <w:rFonts w:ascii="Times New Roman" w:hAnsi="Times New Roman" w:eastAsia="宋体" w:cs="Times New Roman"/>
      <w:szCs w:val="21"/>
    </w:rPr>
  </w:style>
  <w:style w:type="paragraph" w:customStyle="1" w:styleId="81">
    <w:name w:val="_Style 1"/>
    <w:basedOn w:val="1"/>
    <w:qFormat/>
    <w:uiPriority w:val="34"/>
    <w:pPr>
      <w:spacing w:after="160" w:line="259" w:lineRule="auto"/>
      <w:ind w:firstLine="420" w:firstLineChars="200"/>
    </w:pPr>
    <w:rPr>
      <w:rFonts w:ascii="Times New Roman" w:hAnsi="Times New Roman" w:eastAsia="宋体" w:cs="Times New Roman"/>
      <w:sz w:val="20"/>
      <w:szCs w:val="20"/>
    </w:rPr>
  </w:style>
  <w:style w:type="character" w:customStyle="1" w:styleId="82">
    <w:name w:val="正文文本缩进 Char"/>
    <w:basedOn w:val="25"/>
    <w:link w:val="15"/>
    <w:semiHidden/>
    <w:qFormat/>
    <w:uiPriority w:val="99"/>
    <w:rPr>
      <w:rFonts w:asciiTheme="minorHAnsi" w:hAnsiTheme="minorHAnsi" w:eastAsiaTheme="minorEastAsia" w:cstheme="minorBidi"/>
      <w:kern w:val="2"/>
      <w:sz w:val="21"/>
      <w:szCs w:val="22"/>
    </w:rPr>
  </w:style>
  <w:style w:type="paragraph" w:customStyle="1" w:styleId="83">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84">
    <w:name w:val="Char Char Char Char Char Char Char1 Char"/>
    <w:basedOn w:val="1"/>
    <w:qFormat/>
    <w:uiPriority w:val="0"/>
    <w:pPr>
      <w:spacing w:after="160" w:line="259" w:lineRule="auto"/>
    </w:pPr>
    <w:rPr>
      <w:rFonts w:ascii="Tahoma" w:hAnsi="Tahoma" w:eastAsia="宋体" w:cs="Times New Roman"/>
      <w:sz w:val="24"/>
      <w:szCs w:val="20"/>
    </w:rPr>
  </w:style>
  <w:style w:type="paragraph" w:customStyle="1" w:styleId="85">
    <w:name w:val="纯文本11"/>
    <w:basedOn w:val="1"/>
    <w:qFormat/>
    <w:uiPriority w:val="0"/>
    <w:rPr>
      <w:rFonts w:ascii="宋体" w:hAnsi="Courier New"/>
    </w:rPr>
  </w:style>
  <w:style w:type="paragraph" w:customStyle="1" w:styleId="86">
    <w:name w:val="正文文本 21"/>
    <w:basedOn w:val="1"/>
    <w:qFormat/>
    <w:uiPriority w:val="0"/>
    <w:pPr>
      <w:spacing w:after="120" w:line="480" w:lineRule="auto"/>
    </w:pPr>
    <w:rPr>
      <w:sz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703AAA-0265-4636-A3FE-AC11CAA5610E}">
  <ds:schemaRefs/>
</ds:datastoreItem>
</file>

<file path=docProps/app.xml><?xml version="1.0" encoding="utf-8"?>
<Properties xmlns="http://schemas.openxmlformats.org/officeDocument/2006/extended-properties" xmlns:vt="http://schemas.openxmlformats.org/officeDocument/2006/docPropsVTypes">
  <Template>Normal.dotm</Template>
  <Company>ra</Company>
  <Pages>35</Pages>
  <Words>15791</Words>
  <Characters>16363</Characters>
  <Lines>190</Lines>
  <Paragraphs>53</Paragraphs>
  <TotalTime>57</TotalTime>
  <ScaleCrop>false</ScaleCrop>
  <LinksUpToDate>false</LinksUpToDate>
  <CharactersWithSpaces>16648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2023-07-28T06:39:00Z</dcterms:created>
  <dc:creator>zyz</dc:creator>
  <cp:lastModifiedBy>jthb</cp:lastModifiedBy>
  <cp:lastPrinted>2025-09-15T04:55:00Z</cp:lastPrinted>
  <dcterms:modified xsi:type="dcterms:W3CDTF">2025-09-19T02:47:23Z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C960AB00BB454E0396BF697764E6C48C_13</vt:lpwstr>
  </property>
  <property fmtid="{D5CDD505-2E9C-101B-9397-08002B2CF9AE}" pid="4" name="KSOTemplateDocerSaveRecord">
    <vt:lpwstr>eyJoZGlkIjoiMzM3MzUzODM0NDQ4MDhhYTY1YzgyMGViMWU2MWZmMDgiLCJ1c2VySWQiOiIxMDI0OTgwNTI1In0=</vt:lpwstr>
  </property>
</Properties>
</file>