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5F515">
      <w:pPr>
        <w:pStyle w:val="4"/>
        <w:spacing w:line="600" w:lineRule="exact"/>
        <w:rPr>
          <w:rFonts w:hint="eastAsia" w:ascii="宋体" w:hAnsi="宋体" w:eastAsia="宋体" w:cs="宋体"/>
          <w:sz w:val="28"/>
          <w:szCs w:val="28"/>
        </w:rPr>
      </w:pPr>
      <w:r>
        <w:rPr>
          <w:rFonts w:hint="eastAsia" w:ascii="宋体" w:hAnsi="宋体" w:eastAsia="宋体" w:cs="宋体"/>
          <w:b/>
          <w:bCs/>
          <w:sz w:val="28"/>
          <w:szCs w:val="28"/>
        </w:rPr>
        <w:t>附件：评标细则</w:t>
      </w:r>
    </w:p>
    <w:p w14:paraId="70923252">
      <w:pPr>
        <w:widowControl/>
        <w:spacing w:line="600" w:lineRule="exact"/>
        <w:ind w:firstLine="560" w:firstLineChars="200"/>
        <w:jc w:val="left"/>
        <w:rPr>
          <w:rFonts w:hint="eastAsia" w:ascii="Times New Roman" w:hAnsi="Times New Roman"/>
          <w:szCs w:val="24"/>
        </w:rPr>
      </w:pPr>
      <w:r>
        <w:rPr>
          <w:rFonts w:hint="eastAsia" w:ascii="宋体" w:hAnsi="宋体" w:cs="宋体"/>
          <w:color w:val="000000"/>
          <w:kern w:val="0"/>
          <w:sz w:val="28"/>
          <w:szCs w:val="28"/>
          <w:lang w:bidi="ar"/>
        </w:rPr>
        <w:t xml:space="preserve">本次评标采用“评标入围法+合理低价法”评标办法，总分 100 分，由评标委员会按以下规则计算汇总评审结果，按照评标总分从高到低的顺序向招标人推荐 1 至 3 名中标候选人，并标明排序。如评标总分相同，评标价低的优先；评标价也相等的，由招标人以抽签方式确定排序。招标文件“第三章 评标办法”与本细则不一致的，以本细则为准。具体如下： </w:t>
      </w:r>
    </w:p>
    <w:p w14:paraId="3CE7AB5C">
      <w:pPr>
        <w:widowControl/>
        <w:spacing w:line="600" w:lineRule="exact"/>
        <w:jc w:val="left"/>
        <w:rPr>
          <w:rFonts w:ascii="Times New Roman" w:hAnsi="Times New Roman"/>
          <w:szCs w:val="24"/>
        </w:rPr>
      </w:pPr>
      <w:r>
        <w:rPr>
          <w:rFonts w:hint="eastAsia" w:ascii="宋体" w:hAnsi="宋体" w:cs="宋体"/>
          <w:b/>
          <w:bCs/>
          <w:color w:val="000000"/>
          <w:kern w:val="0"/>
          <w:sz w:val="28"/>
          <w:szCs w:val="28"/>
          <w:lang w:bidi="ar"/>
        </w:rPr>
        <w:t xml:space="preserve">一、评标入围办法 </w:t>
      </w:r>
    </w:p>
    <w:p w14:paraId="00738441">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当递交投标文件的投标人数量不超过 30 家时，采用“全部入围法”；当递交投标文件的投标人数量超过 30 家时，采用“去高去低入围法”。具体入围方法如下： </w:t>
      </w:r>
    </w:p>
    <w:p w14:paraId="2784E49A">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1、全部入围法 </w:t>
      </w:r>
    </w:p>
    <w:p w14:paraId="13931943">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所有递交投标文件的投标人全部进入后续开评标程序。 </w:t>
      </w:r>
    </w:p>
    <w:p w14:paraId="36384470">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2、去高去低入围法 </w:t>
      </w:r>
    </w:p>
    <w:p w14:paraId="2B4BB09B">
      <w:pPr>
        <w:widowControl/>
        <w:spacing w:line="600" w:lineRule="exact"/>
        <w:ind w:firstLine="280" w:firstLineChars="100"/>
        <w:jc w:val="left"/>
        <w:rPr>
          <w:rFonts w:ascii="Times New Roman" w:hAnsi="Times New Roman"/>
          <w:szCs w:val="24"/>
        </w:rPr>
      </w:pPr>
      <w:r>
        <w:rPr>
          <w:rFonts w:hint="eastAsia" w:ascii="宋体" w:hAnsi="宋体" w:cs="宋体"/>
          <w:color w:val="000000"/>
          <w:kern w:val="0"/>
          <w:sz w:val="28"/>
          <w:szCs w:val="28"/>
          <w:lang w:bidi="ar"/>
        </w:rPr>
        <w:t xml:space="preserve">（1）开标结束后，评标委员会先按投标报价由高到低去除投标人 </w:t>
      </w:r>
    </w:p>
    <w:p w14:paraId="240C80F1">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数量×G1（G1 值为 10%、15%、20%、25%、30%）最高投标报价的投标 人和由低到高去除投标人数量×G2（G2 值为 10%、15%、20%）最低投 标报价的投标人（去高、去低的数量四舍五入后取整，末位报价相同 的均去除），G1 和 G2 在开标时由招标人代表随机抽取确定。投标报价是指开标时公布的报价，投标人数量是指递交评标委员会评审的投标人数量。 </w:t>
      </w:r>
    </w:p>
    <w:p w14:paraId="4120DA97">
      <w:pPr>
        <w:widowControl/>
        <w:spacing w:line="600" w:lineRule="exact"/>
        <w:ind w:firstLine="280" w:firstLineChars="100"/>
        <w:jc w:val="left"/>
        <w:rPr>
          <w:rFonts w:ascii="Times New Roman" w:hAnsi="Times New Roman"/>
          <w:szCs w:val="24"/>
        </w:rPr>
      </w:pPr>
      <w:r>
        <w:rPr>
          <w:rFonts w:hint="eastAsia" w:ascii="宋体" w:hAnsi="宋体" w:cs="宋体"/>
          <w:color w:val="000000"/>
          <w:kern w:val="0"/>
          <w:sz w:val="28"/>
          <w:szCs w:val="28"/>
          <w:lang w:bidi="ar"/>
        </w:rPr>
        <w:t xml:space="preserve">（2）去除的投标人不进入后续评标程序，评标委员会对入围投标 </w:t>
      </w:r>
    </w:p>
    <w:p w14:paraId="75AE6145">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人按照招标文件规定的评标方法进行评审。 </w:t>
      </w:r>
    </w:p>
    <w:p w14:paraId="788FE727">
      <w:pPr>
        <w:widowControl/>
        <w:spacing w:line="600" w:lineRule="exact"/>
        <w:ind w:firstLine="280" w:firstLineChars="100"/>
        <w:jc w:val="left"/>
        <w:rPr>
          <w:rFonts w:ascii="Times New Roman" w:hAnsi="Times New Roman"/>
          <w:szCs w:val="24"/>
        </w:rPr>
      </w:pPr>
      <w:r>
        <w:rPr>
          <w:rFonts w:hint="eastAsia" w:ascii="宋体" w:hAnsi="宋体" w:cs="宋体"/>
          <w:color w:val="000000"/>
          <w:kern w:val="0"/>
          <w:sz w:val="28"/>
          <w:szCs w:val="28"/>
          <w:lang w:bidi="ar"/>
        </w:rPr>
        <w:t xml:space="preserve">（3）评标入围结果不因招投标当事人质疑、投诉、复议以及其他 </w:t>
      </w:r>
    </w:p>
    <w:p w14:paraId="042BFB35">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任何情形而改变（计算错误应作调整）。 </w:t>
      </w:r>
    </w:p>
    <w:p w14:paraId="3E4F9E24">
      <w:pPr>
        <w:widowControl/>
        <w:spacing w:line="600" w:lineRule="exact"/>
        <w:jc w:val="left"/>
        <w:rPr>
          <w:rFonts w:ascii="Times New Roman" w:hAnsi="Times New Roman"/>
          <w:szCs w:val="24"/>
        </w:rPr>
      </w:pPr>
      <w:r>
        <w:rPr>
          <w:rFonts w:hint="eastAsia" w:ascii="宋体" w:hAnsi="宋体" w:cs="宋体"/>
          <w:b/>
          <w:bCs/>
          <w:color w:val="000000"/>
          <w:kern w:val="0"/>
          <w:sz w:val="28"/>
          <w:szCs w:val="28"/>
          <w:lang w:bidi="ar"/>
        </w:rPr>
        <w:t xml:space="preserve">二、投标报价得分（100 分） </w:t>
      </w:r>
    </w:p>
    <w:p w14:paraId="5EBE1AAA">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1、按以下方法确定评标基准价： </w:t>
      </w:r>
    </w:p>
    <w:p w14:paraId="3F97B912">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评标基准价=(A×35%＋B×45%＋C×20%)×K </w:t>
      </w:r>
    </w:p>
    <w:p w14:paraId="5D5F5053">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A＝最高投标限价×（100%-下浮率Δ）。 </w:t>
      </w:r>
    </w:p>
    <w:p w14:paraId="4B2780C0">
      <w:pPr>
        <w:widowControl/>
        <w:spacing w:line="600" w:lineRule="exact"/>
        <w:jc w:val="left"/>
        <w:rPr>
          <w:rFonts w:ascii="Times New Roman" w:hAnsi="Times New Roman"/>
          <w:szCs w:val="24"/>
          <w:highlight w:val="yellow"/>
        </w:rPr>
      </w:pPr>
      <w:r>
        <w:rPr>
          <w:rFonts w:hint="eastAsia" w:ascii="宋体" w:hAnsi="宋体" w:cs="宋体"/>
          <w:color w:val="000000"/>
          <w:kern w:val="0"/>
          <w:sz w:val="28"/>
          <w:szCs w:val="28"/>
          <w:lang w:bidi="ar"/>
        </w:rPr>
        <w:t>下浮率Δ的抽取范围为：</w:t>
      </w:r>
      <w:r>
        <w:rPr>
          <w:rFonts w:hint="eastAsia" w:ascii="宋体" w:hAnsi="宋体" w:cs="宋体"/>
          <w:color w:val="000000"/>
          <w:kern w:val="0"/>
          <w:sz w:val="28"/>
          <w:szCs w:val="28"/>
          <w:lang w:val="en-US" w:eastAsia="zh-CN" w:bidi="ar"/>
        </w:rPr>
        <w:t>7</w:t>
      </w:r>
      <w:r>
        <w:rPr>
          <w:rFonts w:hint="eastAsia" w:ascii="宋体" w:hAnsi="宋体" w:cs="宋体"/>
          <w:color w:val="000000"/>
          <w:kern w:val="0"/>
          <w:sz w:val="28"/>
          <w:szCs w:val="28"/>
          <w:lang w:bidi="ar"/>
        </w:rPr>
        <w:t>%、</w:t>
      </w:r>
      <w:r>
        <w:rPr>
          <w:rFonts w:hint="eastAsia" w:ascii="宋体" w:hAnsi="宋体" w:cs="宋体"/>
          <w:color w:val="000000"/>
          <w:kern w:val="0"/>
          <w:sz w:val="28"/>
          <w:szCs w:val="28"/>
          <w:lang w:val="en-US" w:eastAsia="zh-CN" w:bidi="ar"/>
        </w:rPr>
        <w:t>8</w:t>
      </w:r>
      <w:r>
        <w:rPr>
          <w:rFonts w:hint="eastAsia" w:ascii="宋体" w:hAnsi="宋体" w:cs="宋体"/>
          <w:color w:val="000000"/>
          <w:kern w:val="0"/>
          <w:sz w:val="28"/>
          <w:szCs w:val="28"/>
          <w:lang w:bidi="ar"/>
        </w:rPr>
        <w:t>%、</w:t>
      </w:r>
      <w:r>
        <w:rPr>
          <w:rFonts w:hint="eastAsia" w:ascii="宋体" w:hAnsi="宋体" w:cs="宋体"/>
          <w:color w:val="000000"/>
          <w:kern w:val="0"/>
          <w:sz w:val="28"/>
          <w:szCs w:val="28"/>
          <w:lang w:val="en-US" w:eastAsia="zh-CN" w:bidi="ar"/>
        </w:rPr>
        <w:t>9</w:t>
      </w:r>
      <w:r>
        <w:rPr>
          <w:rFonts w:hint="eastAsia" w:ascii="宋体" w:hAnsi="宋体" w:cs="宋体"/>
          <w:color w:val="000000"/>
          <w:kern w:val="0"/>
          <w:sz w:val="28"/>
          <w:szCs w:val="28"/>
          <w:lang w:bidi="ar"/>
        </w:rPr>
        <w:t xml:space="preserve">%。 </w:t>
      </w:r>
    </w:p>
    <w:p w14:paraId="3B7634D6">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B＝在规定范围内的本次投标除 C 值外的任意一个评标价（甲方招标人代表随机抽取）。 </w:t>
      </w:r>
    </w:p>
    <w:p w14:paraId="0B33CCF5">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C＝在规定范围内的本次开标最低评标价。 </w:t>
      </w:r>
    </w:p>
    <w:p w14:paraId="0F148B65">
      <w:pPr>
        <w:widowControl/>
        <w:spacing w:line="600" w:lineRule="exact"/>
        <w:jc w:val="left"/>
        <w:rPr>
          <w:rFonts w:ascii="Times New Roman" w:hAnsi="Times New Roman"/>
          <w:szCs w:val="24"/>
          <w:highlight w:val="yellow"/>
        </w:rPr>
      </w:pPr>
      <w:r>
        <w:rPr>
          <w:rFonts w:hint="eastAsia" w:ascii="宋体" w:hAnsi="宋体" w:cs="宋体"/>
          <w:color w:val="000000"/>
          <w:kern w:val="0"/>
          <w:sz w:val="28"/>
          <w:szCs w:val="28"/>
          <w:lang w:bidi="ar"/>
        </w:rPr>
        <w:t xml:space="preserve">Ｋ为下浮系数，取值范围为： 95%、96%、97%。 </w:t>
      </w:r>
    </w:p>
    <w:p w14:paraId="476EABF1">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规定范围内是指： </w:t>
      </w:r>
    </w:p>
    <w:p w14:paraId="70D8A40B">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(1)评标价≤最高投标限价×（100%-下浮率Δ）。 </w:t>
      </w:r>
    </w:p>
    <w:p w14:paraId="119BB923">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(2)评标价≥所有通过第⑴步评审合格的投标人评标价算术平均值×90%。 </w:t>
      </w:r>
    </w:p>
    <w:p w14:paraId="5AEDA616">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(3)特殊情况处理：规定范围内的评标价只有一家时，B 值和 C 值 </w:t>
      </w:r>
    </w:p>
    <w:p w14:paraId="473699ED">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均取该评标价；没有符合规定范围内的评标价时，本工程流标。 </w:t>
      </w:r>
    </w:p>
    <w:p w14:paraId="558B2028">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2、有效投标文件的评标价等于评标基准价的得满分（100 分）， </w:t>
      </w:r>
    </w:p>
    <w:p w14:paraId="0030632D">
      <w:pPr>
        <w:widowControl/>
        <w:spacing w:line="600" w:lineRule="exact"/>
        <w:jc w:val="left"/>
        <w:rPr>
          <w:rFonts w:ascii="Times New Roman" w:hAnsi="Times New Roman"/>
          <w:szCs w:val="24"/>
        </w:rPr>
      </w:pPr>
      <w:r>
        <w:rPr>
          <w:rFonts w:hint="eastAsia" w:ascii="宋体" w:hAnsi="宋体" w:cs="宋体"/>
          <w:color w:val="000000"/>
          <w:kern w:val="0"/>
          <w:sz w:val="28"/>
          <w:szCs w:val="28"/>
          <w:lang w:bidi="ar"/>
        </w:rPr>
        <w:t xml:space="preserve">评标价相对评标基准价每高 1%扣 0.9 分，每低 1%扣 0.6 分，不足 1%的，按照插入法计算得分，分值按四舍五入取二位小数。 </w:t>
      </w:r>
    </w:p>
    <w:p w14:paraId="153CECD9">
      <w:pPr>
        <w:widowControl/>
        <w:spacing w:line="600" w:lineRule="exact"/>
        <w:jc w:val="left"/>
        <w:rPr>
          <w:rFonts w:ascii="Times New Roman" w:hAnsi="Times New Roman"/>
          <w:szCs w:val="24"/>
        </w:rPr>
      </w:pPr>
      <w:r>
        <w:rPr>
          <w:rFonts w:hint="eastAsia" w:ascii="宋体" w:hAnsi="宋体" w:cs="宋体"/>
          <w:b/>
          <w:bCs/>
          <w:color w:val="000000"/>
          <w:kern w:val="0"/>
          <w:sz w:val="28"/>
          <w:szCs w:val="28"/>
          <w:lang w:bidi="ar"/>
        </w:rPr>
        <w:t xml:space="preserve">评标细则说明： </w:t>
      </w:r>
    </w:p>
    <w:p w14:paraId="3D92EB3D">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1、有效投标文件是指评标委员会初步评审合格的投标文件;评标 价指经澄清、补正和修正算术错误的投标报价。 </w:t>
      </w:r>
    </w:p>
    <w:p w14:paraId="42D6A29E">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2、不参与评标基准价计算的有效投标文件均不影响其评标及推荐 为中标候选人。 </w:t>
      </w:r>
    </w:p>
    <w:p w14:paraId="5BF27315">
      <w:pPr>
        <w:widowControl/>
        <w:spacing w:line="600" w:lineRule="exact"/>
        <w:ind w:firstLine="560" w:firstLineChars="200"/>
        <w:jc w:val="left"/>
        <w:rPr>
          <w:rFonts w:ascii="Times New Roman" w:hAnsi="Times New Roman"/>
          <w:szCs w:val="24"/>
        </w:rPr>
      </w:pPr>
      <w:r>
        <w:rPr>
          <w:rFonts w:hint="eastAsia" w:ascii="宋体" w:hAnsi="宋体" w:cs="宋体"/>
          <w:color w:val="000000"/>
          <w:kern w:val="0"/>
          <w:sz w:val="28"/>
          <w:szCs w:val="28"/>
          <w:lang w:bidi="ar"/>
        </w:rPr>
        <w:t xml:space="preserve">3、评标基准价和信用分权重相关数值及评标基准价计算方法(如有,先抽计算方法)的抽取在招标人(招标代理机构)完成评标准备工作, 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 </w:t>
      </w:r>
    </w:p>
    <w:p w14:paraId="0308B11B">
      <w:pPr>
        <w:widowControl/>
        <w:spacing w:line="600" w:lineRule="exact"/>
        <w:ind w:firstLine="560" w:firstLineChars="200"/>
        <w:jc w:val="left"/>
        <w:rPr>
          <w:rFonts w:hint="eastAsia"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 xml:space="preserve">4、相关数值抽取后,在抽取现场确定评标基准价,评标基准价确定后不因招投标当事人质疑、投诉、复议以及其他任何情形而改变(计算错误应作调整)。 </w:t>
      </w:r>
    </w:p>
    <w:p w14:paraId="10E16EE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8A7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2"/>
    <w:basedOn w:val="5"/>
    <w:qFormat/>
    <w:uiPriority w:val="0"/>
    <w:pPr>
      <w:spacing w:beforeAutospacing="1" w:afterAutospacing="1"/>
      <w:jc w:val="left"/>
    </w:pPr>
    <w:rPr>
      <w:rFonts w:cs="Times New Roman"/>
      <w:kern w:val="0"/>
      <w:sz w:val="24"/>
    </w:rPr>
  </w:style>
  <w:style w:type="paragraph" w:customStyle="1" w:styleId="5">
    <w:name w:val="正文2"/>
    <w:qFormat/>
    <w:uiPriority w:val="0"/>
    <w:pPr>
      <w:widowControl w:val="0"/>
      <w:jc w:val="both"/>
    </w:pPr>
    <w:rPr>
      <w:rFonts w:ascii="等线" w:hAnsi="等线" w:eastAsia="等线" w:cs="等线"/>
      <w:kern w:val="2"/>
      <w:sz w:val="21"/>
      <w:szCs w:val="24"/>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2025-09-19T10:23:16Z</dcterms:created>
  <dc:creator>Administrator</dc:creator>
  <cp:lastModifiedBy>。</cp:lastModifiedBy>
  <dcterms:modified xsi:type="dcterms:W3CDTF">2025-09-19T10:23:19Z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eyJoZGlkIjoiN2ZkZDNhZDJkNTg4N2YyZThjN2IyMDNiNWU4ZjMxZjIiLCJ1c2VySWQiOiIzMTM5NDYyMjIifQ==</vt:lpwstr>
  </property>
  <property fmtid="{D5CDD505-2E9C-101B-9397-08002B2CF9AE}" pid="4" name="ICV">
    <vt:lpwstr>A606818391C3481687AB1C675085DB42_12</vt:lpwstr>
  </property>
</Properties>
</file>